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C32D2" w14:textId="23EFE5DD" w:rsidR="008A2F7E" w:rsidRDefault="00EB48E8" w:rsidP="004873B1">
      <w:pPr>
        <w:pStyle w:val="Title"/>
        <w:jc w:val="center"/>
        <w:rPr>
          <w:lang w:val="en-US"/>
        </w:rPr>
      </w:pPr>
      <w:r w:rsidRPr="00EB48E8">
        <w:rPr>
          <w:lang w:val="en-US"/>
        </w:rPr>
        <w:t xml:space="preserve">Mediasi Pajak Eletronik pada Perilaku Tren </w:t>
      </w:r>
      <w:r w:rsidR="00916950">
        <w:rPr>
          <w:lang w:val="en-US"/>
        </w:rPr>
        <w:t xml:space="preserve">dan </w:t>
      </w:r>
      <w:r w:rsidRPr="00EB48E8">
        <w:rPr>
          <w:lang w:val="en-US"/>
        </w:rPr>
        <w:t>Gaya Hidup</w:t>
      </w:r>
    </w:p>
    <w:p w14:paraId="69CB124C" w14:textId="7828547C" w:rsidR="006D2D8C" w:rsidRPr="00CC24A6" w:rsidRDefault="00CC24A6" w:rsidP="00CC24A6">
      <w:pPr>
        <w:jc w:val="center"/>
        <w:rPr>
          <w:lang w:val="en-US"/>
        </w:rPr>
      </w:pPr>
      <w:r>
        <w:rPr>
          <w:lang w:val="en-US"/>
        </w:rPr>
        <w:t>Fachrudin Pakaja</w:t>
      </w:r>
      <w:r w:rsidRPr="00897ADF">
        <w:rPr>
          <w:vertAlign w:val="superscript"/>
          <w:lang w:val="en-US"/>
        </w:rPr>
        <w:t>d</w:t>
      </w:r>
    </w:p>
    <w:p w14:paraId="2EEB6BD5" w14:textId="77777777" w:rsidR="006267D6" w:rsidRDefault="006267D6" w:rsidP="006D2D8C">
      <w:pPr>
        <w:jc w:val="center"/>
        <w:rPr>
          <w:vertAlign w:val="superscript"/>
          <w:lang w:val="en-US"/>
        </w:rPr>
      </w:pPr>
    </w:p>
    <w:p w14:paraId="60E73757" w14:textId="4BF7D230" w:rsidR="006D2D8C" w:rsidRDefault="000901CB" w:rsidP="006D2D8C">
      <w:pPr>
        <w:jc w:val="center"/>
      </w:pPr>
      <w:hyperlink r:id="rId8" w:history="1">
        <w:r w:rsidR="006D2D8C" w:rsidRPr="0001239D">
          <w:rPr>
            <w:rStyle w:val="Hyperlink"/>
          </w:rPr>
          <w:t>fachrudinpakaja@unigamalang.ac.id</w:t>
        </w:r>
      </w:hyperlink>
      <w:r w:rsidR="006D2D8C">
        <w:t xml:space="preserve"> </w:t>
      </w:r>
    </w:p>
    <w:p w14:paraId="166EA046" w14:textId="26F16786" w:rsidR="004873B1" w:rsidRDefault="006D2D8C" w:rsidP="00F26D0F">
      <w:pPr>
        <w:jc w:val="center"/>
        <w:rPr>
          <w:lang w:val="en-US"/>
        </w:rPr>
      </w:pPr>
      <w:r w:rsidRPr="00ED1616">
        <w:t>Faculty of Engineering and Informatics, Gajayana University</w:t>
      </w:r>
      <w:r>
        <w:t xml:space="preserve"> Malang, East Java, Indonesia</w:t>
      </w:r>
    </w:p>
    <w:p w14:paraId="161D3508" w14:textId="77777777" w:rsidR="00F26D0F" w:rsidRDefault="00F26D0F" w:rsidP="004873B1">
      <w:pPr>
        <w:rPr>
          <w:lang w:val="en-US"/>
        </w:rPr>
      </w:pPr>
    </w:p>
    <w:p w14:paraId="5D881F15" w14:textId="54A1404A" w:rsidR="006B0637" w:rsidRDefault="006B0637" w:rsidP="00670C76">
      <w:pPr>
        <w:pStyle w:val="Heading1"/>
        <w:rPr>
          <w:lang w:val="en-US"/>
        </w:rPr>
      </w:pPr>
      <w:r>
        <w:rPr>
          <w:lang w:val="en-US"/>
        </w:rPr>
        <w:t>Abstrak</w:t>
      </w:r>
    </w:p>
    <w:p w14:paraId="43342F25" w14:textId="2050E1F9" w:rsidR="00A04A7F" w:rsidRPr="006B0637" w:rsidRDefault="008A4BA8" w:rsidP="006B0637">
      <w:pPr>
        <w:rPr>
          <w:lang w:val="en-US"/>
        </w:rPr>
      </w:pPr>
      <w:r>
        <w:rPr>
          <w:lang w:val="en-US"/>
        </w:rPr>
        <w:t>T</w:t>
      </w:r>
      <w:r w:rsidRPr="008D27DE">
        <w:rPr>
          <w:lang w:val="en-US"/>
        </w:rPr>
        <w:t xml:space="preserve">eknologi </w:t>
      </w:r>
      <w:r>
        <w:rPr>
          <w:lang w:val="en-US"/>
        </w:rPr>
        <w:t>i</w:t>
      </w:r>
      <w:r w:rsidRPr="008D27DE">
        <w:rPr>
          <w:lang w:val="en-US"/>
        </w:rPr>
        <w:t xml:space="preserve">nformasi membawa perubahan dan mempengaruhi </w:t>
      </w:r>
      <w:r>
        <w:rPr>
          <w:lang w:val="en-US"/>
        </w:rPr>
        <w:t>perilaku belanja dan gaya hidup</w:t>
      </w:r>
      <w:r w:rsidR="00C84772">
        <w:rPr>
          <w:lang w:val="en-US"/>
        </w:rPr>
        <w:t>.</w:t>
      </w:r>
      <w:r>
        <w:rPr>
          <w:lang w:val="en-US"/>
        </w:rPr>
        <w:t xml:space="preserve"> </w:t>
      </w:r>
      <w:r w:rsidR="00A04A7F">
        <w:rPr>
          <w:lang w:val="en-US"/>
        </w:rPr>
        <w:t xml:space="preserve">Penelitian ini bertujuan untuk menyelidiki perilaku belanja melalui trend, gaya hidup dan price disperse terhadap keputusan melakukan transaksi online. Serta pengaruh lanjutan dari e-tax terhadap </w:t>
      </w:r>
      <w:r w:rsidR="00101D86">
        <w:rPr>
          <w:lang w:val="en-US"/>
        </w:rPr>
        <w:t xml:space="preserve">hubungan </w:t>
      </w:r>
      <w:r w:rsidR="00A04A7F">
        <w:rPr>
          <w:lang w:val="en-US"/>
        </w:rPr>
        <w:t xml:space="preserve">perilaku </w:t>
      </w:r>
      <w:r w:rsidR="003334C0">
        <w:rPr>
          <w:lang w:val="en-US"/>
        </w:rPr>
        <w:t xml:space="preserve">konsumen </w:t>
      </w:r>
      <w:r w:rsidR="00A04A7F">
        <w:rPr>
          <w:lang w:val="en-US"/>
        </w:rPr>
        <w:t>dan transaksi online</w:t>
      </w:r>
      <w:r w:rsidR="002B5656">
        <w:rPr>
          <w:lang w:val="en-US"/>
        </w:rPr>
        <w:t xml:space="preserve">. </w:t>
      </w:r>
      <w:r w:rsidR="00BF073D">
        <w:rPr>
          <w:lang w:val="en-US"/>
        </w:rPr>
        <w:t>Data dikumpukan dari 279 pembeli online dengan menggunakan survey online. Analisis data dengan menggunakan SEM PLS, mengungkapkan tren sebagai predictor unggul dari hubungan ters</w:t>
      </w:r>
      <w:r w:rsidR="00854E8F">
        <w:rPr>
          <w:lang w:val="en-US"/>
        </w:rPr>
        <w:t>e</w:t>
      </w:r>
      <w:r w:rsidR="00BF073D">
        <w:rPr>
          <w:lang w:val="en-US"/>
        </w:rPr>
        <w:t xml:space="preserve">but, disusul oleh lifestyle, Namun tidak pada price dispersion dan e-tax. </w:t>
      </w:r>
      <w:r w:rsidR="002B5656">
        <w:rPr>
          <w:lang w:val="en-US"/>
        </w:rPr>
        <w:t>Kesadaran yang muncul tentang e-tax menjadi bukti nyata pada proyek ini.</w:t>
      </w:r>
      <w:r w:rsidR="003C1A39">
        <w:rPr>
          <w:lang w:val="en-US"/>
        </w:rPr>
        <w:t xml:space="preserve"> </w:t>
      </w:r>
      <w:r w:rsidR="00A04A7F">
        <w:rPr>
          <w:lang w:val="en-US"/>
        </w:rPr>
        <w:t>Temuan ini</w:t>
      </w:r>
      <w:r w:rsidR="003334C0">
        <w:rPr>
          <w:lang w:val="en-US"/>
        </w:rPr>
        <w:t xml:space="preserve"> akan membantu para pemangku kepentingan seperti pedagang online dalam mengembangkan produk dagangannya untuk meningkatkan pemasaran dan pembuat kebijakan pajak pada platform online.</w:t>
      </w:r>
      <w:r w:rsidR="00854E8F">
        <w:rPr>
          <w:lang w:val="en-US"/>
        </w:rPr>
        <w:t xml:space="preserve"> Kerangka pemikiran masa depan juga dibahas dalam penelitian ini.</w:t>
      </w:r>
    </w:p>
    <w:p w14:paraId="6094057B" w14:textId="0D809323" w:rsidR="006B0637" w:rsidRPr="006B0637" w:rsidRDefault="006B0637" w:rsidP="006B0637">
      <w:pPr>
        <w:rPr>
          <w:lang w:val="en-US"/>
        </w:rPr>
      </w:pPr>
      <w:r w:rsidRPr="006B0637">
        <w:rPr>
          <w:b/>
          <w:bCs/>
          <w:lang w:val="en-US"/>
        </w:rPr>
        <w:t>Kata Kunci</w:t>
      </w:r>
      <w:r>
        <w:rPr>
          <w:lang w:val="en-US"/>
        </w:rPr>
        <w:t>: Tren, Gaya Hidup, Price Dsipersion, E-Tax, Transaksi Online</w:t>
      </w:r>
    </w:p>
    <w:p w14:paraId="5B0239F4" w14:textId="2164E977" w:rsidR="00670C76" w:rsidRDefault="00670C76" w:rsidP="00670C76">
      <w:pPr>
        <w:pStyle w:val="Heading1"/>
      </w:pPr>
      <w:r>
        <w:t>1. Introduction</w:t>
      </w:r>
    </w:p>
    <w:p w14:paraId="495D9C8C" w14:textId="2A7DEC2D" w:rsidR="008540C3" w:rsidRDefault="008D27DE" w:rsidP="00D944E4">
      <w:pPr>
        <w:rPr>
          <w:lang w:val="en-US"/>
        </w:rPr>
      </w:pPr>
      <w:r>
        <w:rPr>
          <w:lang w:val="en-US"/>
        </w:rPr>
        <w:t>T</w:t>
      </w:r>
      <w:r w:rsidRPr="008D27DE">
        <w:rPr>
          <w:lang w:val="en-US"/>
        </w:rPr>
        <w:t xml:space="preserve">eknologi </w:t>
      </w:r>
      <w:r w:rsidR="008A4BA8">
        <w:rPr>
          <w:lang w:val="en-US"/>
        </w:rPr>
        <w:t>i</w:t>
      </w:r>
      <w:r w:rsidRPr="008D27DE">
        <w:rPr>
          <w:lang w:val="en-US"/>
        </w:rPr>
        <w:t xml:space="preserve">nformasi </w:t>
      </w:r>
      <w:r>
        <w:rPr>
          <w:lang w:val="en-US"/>
        </w:rPr>
        <w:t xml:space="preserve">telah </w:t>
      </w:r>
      <w:r w:rsidRPr="008D27DE">
        <w:rPr>
          <w:lang w:val="en-US"/>
        </w:rPr>
        <w:t xml:space="preserve">memainkan peran </w:t>
      </w:r>
      <w:r>
        <w:rPr>
          <w:lang w:val="en-US"/>
        </w:rPr>
        <w:t xml:space="preserve">penting </w:t>
      </w:r>
      <w:r w:rsidRPr="008D27DE">
        <w:rPr>
          <w:lang w:val="en-US"/>
        </w:rPr>
        <w:t xml:space="preserve">dalam membawa perubahan dan mempengaruhi </w:t>
      </w:r>
      <w:r>
        <w:rPr>
          <w:lang w:val="en-US"/>
        </w:rPr>
        <w:t xml:space="preserve">perilaku seseorang, tidak terkecuali perilaku belanja dan gaya hidup </w:t>
      </w:r>
      <w:r w:rsidR="008A4BA8">
        <w:rPr>
          <w:lang w:val="en-US"/>
        </w:rPr>
        <w:t xml:space="preserve">banyak orang </w:t>
      </w:r>
      <w:r>
        <w:rPr>
          <w:lang w:val="en-US"/>
        </w:rPr>
        <w:t>(</w:t>
      </w:r>
      <w:r w:rsidR="00122D91" w:rsidRPr="00122D91">
        <w:rPr>
          <w:color w:val="00B0F0"/>
          <w:lang w:val="en-US"/>
        </w:rPr>
        <w:t>Verma &amp; Jain, 2015;</w:t>
      </w:r>
      <w:r w:rsidR="00122D91">
        <w:rPr>
          <w:lang w:val="en-US"/>
        </w:rPr>
        <w:t xml:space="preserve"> </w:t>
      </w:r>
      <w:r w:rsidR="00AF2D47" w:rsidRPr="002B07F4">
        <w:rPr>
          <w:color w:val="00B0F0"/>
          <w:lang w:val="en-US"/>
        </w:rPr>
        <w:t>Mahmood, dkk. 2004</w:t>
      </w:r>
      <w:r>
        <w:rPr>
          <w:lang w:val="en-US"/>
        </w:rPr>
        <w:t xml:space="preserve">). </w:t>
      </w:r>
      <w:r w:rsidR="00D944E4">
        <w:rPr>
          <w:lang w:val="en-US"/>
        </w:rPr>
        <w:t xml:space="preserve">Dan pada platform aplikasi transaksi online, perubahan ini banyak disebabkan oleh </w:t>
      </w:r>
      <w:r w:rsidR="008540C3">
        <w:rPr>
          <w:lang w:val="en-US"/>
        </w:rPr>
        <w:t>produk berkualitas (</w:t>
      </w:r>
      <w:r w:rsidR="005A5460" w:rsidRPr="005A5460">
        <w:rPr>
          <w:color w:val="00B0F0"/>
          <w:lang w:val="en-US"/>
        </w:rPr>
        <w:t>Uzun &amp; Poturak, 2014</w:t>
      </w:r>
      <w:r w:rsidR="008540C3">
        <w:rPr>
          <w:lang w:val="en-US"/>
        </w:rPr>
        <w:t>) dan fashionable (</w:t>
      </w:r>
      <w:r w:rsidR="000E4B7E" w:rsidRPr="000E4B7E">
        <w:rPr>
          <w:color w:val="00B0F0"/>
          <w:lang w:val="en-US"/>
        </w:rPr>
        <w:t>Gonzales, dkk. 2021;</w:t>
      </w:r>
      <w:r w:rsidR="000E4B7E">
        <w:rPr>
          <w:lang w:val="en-US"/>
        </w:rPr>
        <w:t xml:space="preserve"> </w:t>
      </w:r>
      <w:r w:rsidR="00D243FB" w:rsidRPr="00D243FB">
        <w:rPr>
          <w:color w:val="00B0F0"/>
          <w:lang w:val="en-US"/>
        </w:rPr>
        <w:t>Ladhari, dkk 2019</w:t>
      </w:r>
      <w:r w:rsidR="008540C3">
        <w:rPr>
          <w:lang w:val="en-US"/>
        </w:rPr>
        <w:t>), meningkatnya konsumsi barang (</w:t>
      </w:r>
      <w:r w:rsidR="00BC26C8">
        <w:rPr>
          <w:color w:val="00B0F0"/>
          <w:lang w:val="en-US"/>
        </w:rPr>
        <w:t>Tan</w:t>
      </w:r>
      <w:r w:rsidR="007F1FDE" w:rsidRPr="007F1FDE">
        <w:rPr>
          <w:color w:val="00B0F0"/>
          <w:lang w:val="en-US"/>
        </w:rPr>
        <w:t>, dkk. 2018</w:t>
      </w:r>
      <w:r w:rsidR="008540C3">
        <w:rPr>
          <w:lang w:val="en-US"/>
        </w:rPr>
        <w:t>), kebutuhan hidup (</w:t>
      </w:r>
      <w:r w:rsidR="001F4CFB" w:rsidRPr="001F4CFB">
        <w:rPr>
          <w:color w:val="00B0F0"/>
          <w:lang w:val="en-US"/>
        </w:rPr>
        <w:t>Karine, 2021</w:t>
      </w:r>
      <w:r w:rsidR="001F4CFB">
        <w:rPr>
          <w:lang w:val="en-US"/>
        </w:rPr>
        <w:t xml:space="preserve">; </w:t>
      </w:r>
      <w:r w:rsidR="00635C47">
        <w:rPr>
          <w:color w:val="00B0F0"/>
          <w:lang w:val="en-US"/>
        </w:rPr>
        <w:t>L</w:t>
      </w:r>
      <w:r w:rsidR="001323C9" w:rsidRPr="001323C9">
        <w:rPr>
          <w:color w:val="00B0F0"/>
          <w:lang w:val="en-US"/>
        </w:rPr>
        <w:t>in, 2019</w:t>
      </w:r>
      <w:r w:rsidR="008540C3">
        <w:rPr>
          <w:lang w:val="en-US"/>
        </w:rPr>
        <w:t>), dan harga (</w:t>
      </w:r>
      <w:r w:rsidR="00CA5A3F" w:rsidRPr="00B96FE0">
        <w:rPr>
          <w:color w:val="00B0F0"/>
          <w:lang w:val="en-US"/>
        </w:rPr>
        <w:t>Chen, 2020; Koyuncu &amp; Bhattacahrya, 2004</w:t>
      </w:r>
      <w:r w:rsidR="008540C3">
        <w:rPr>
          <w:lang w:val="en-US"/>
        </w:rPr>
        <w:t>).</w:t>
      </w:r>
      <w:r>
        <w:rPr>
          <w:lang w:val="en-US"/>
        </w:rPr>
        <w:t xml:space="preserve"> </w:t>
      </w:r>
      <w:r w:rsidR="00E13BFC">
        <w:rPr>
          <w:lang w:val="en-US"/>
        </w:rPr>
        <w:t>Selain itu, p</w:t>
      </w:r>
      <w:r w:rsidR="009E0CD2">
        <w:rPr>
          <w:lang w:val="en-US"/>
        </w:rPr>
        <w:t xml:space="preserve">ergeseran perilaku belanja dari </w:t>
      </w:r>
      <w:r w:rsidR="002C0DC2">
        <w:rPr>
          <w:lang w:val="en-US"/>
        </w:rPr>
        <w:t xml:space="preserve">tradisonal </w:t>
      </w:r>
      <w:r w:rsidR="009E0CD2">
        <w:rPr>
          <w:lang w:val="en-US"/>
        </w:rPr>
        <w:t xml:space="preserve">menjadi online akan terus meningkat </w:t>
      </w:r>
      <w:r w:rsidR="00E13BFC">
        <w:rPr>
          <w:lang w:val="en-US"/>
        </w:rPr>
        <w:t xml:space="preserve">karena </w:t>
      </w:r>
      <w:r w:rsidR="009E0CD2">
        <w:rPr>
          <w:lang w:val="en-US"/>
        </w:rPr>
        <w:t>Pandemie COVID 19</w:t>
      </w:r>
      <w:r w:rsidR="00E13BFC">
        <w:rPr>
          <w:lang w:val="en-US"/>
        </w:rPr>
        <w:t xml:space="preserve"> belum berakhir</w:t>
      </w:r>
      <w:r w:rsidR="002C0DC2">
        <w:rPr>
          <w:lang w:val="en-US"/>
        </w:rPr>
        <w:t xml:space="preserve"> dan alasan Kesehatan.</w:t>
      </w:r>
    </w:p>
    <w:p w14:paraId="67FD0BF3" w14:textId="2CC09955" w:rsidR="004D6CE2" w:rsidRDefault="00983769" w:rsidP="008540C3">
      <w:pPr>
        <w:rPr>
          <w:lang w:val="en-US"/>
        </w:rPr>
      </w:pPr>
      <w:r>
        <w:rPr>
          <w:lang w:val="en-US"/>
        </w:rPr>
        <w:t>Terlepas dari menjamurnya penjual online, hanya ada beberapa penelitian yang menyelidiki factor-faktor yang mempengaruhi perilaku konsumen terhadap transaksi online. Studi sebelumnya yang dilakukan ole</w:t>
      </w:r>
      <w:r w:rsidR="00BA6C4C">
        <w:rPr>
          <w:lang w:val="en-US"/>
        </w:rPr>
        <w:t xml:space="preserve">h </w:t>
      </w:r>
      <w:r w:rsidR="00BA6C4C" w:rsidRPr="00BA6C4C">
        <w:rPr>
          <w:color w:val="00B0F0"/>
          <w:lang w:val="en-US"/>
        </w:rPr>
        <w:t>Zhang, dkk (20</w:t>
      </w:r>
      <w:r w:rsidR="00F11A31">
        <w:rPr>
          <w:color w:val="00B0F0"/>
          <w:lang w:val="en-US"/>
        </w:rPr>
        <w:t>07</w:t>
      </w:r>
      <w:r w:rsidR="00BA6C4C" w:rsidRPr="00BA6C4C">
        <w:rPr>
          <w:color w:val="00B0F0"/>
          <w:lang w:val="en-US"/>
        </w:rPr>
        <w:t>)</w:t>
      </w:r>
      <w:r w:rsidR="00BA6C4C">
        <w:rPr>
          <w:color w:val="00B0F0"/>
          <w:lang w:val="en-US"/>
        </w:rPr>
        <w:t xml:space="preserve"> </w:t>
      </w:r>
      <w:r w:rsidR="00BA6C4C" w:rsidRPr="00BA6C4C">
        <w:rPr>
          <w:lang w:val="en-US"/>
        </w:rPr>
        <w:t xml:space="preserve">menunjukkan hubungan signifikan antara jenis kelamin, norma subjektif, impulsif konsumen, niat beli, dan perilaku pembelian </w:t>
      </w:r>
      <w:r w:rsidR="00BA6C4C" w:rsidRPr="00BA6C4C">
        <w:rPr>
          <w:lang w:val="en-US"/>
        </w:rPr>
        <w:lastRenderedPageBreak/>
        <w:t>aktual di lingkungan pemasaran online</w:t>
      </w:r>
      <w:r w:rsidR="00454B3D">
        <w:rPr>
          <w:lang w:val="en-US"/>
        </w:rPr>
        <w:t xml:space="preserve">. </w:t>
      </w:r>
      <w:r w:rsidR="00454B3D" w:rsidRPr="00454B3D">
        <w:rPr>
          <w:color w:val="00B0F0"/>
          <w:lang w:val="en-US"/>
        </w:rPr>
        <w:t>Jamal &amp; Ahmed</w:t>
      </w:r>
      <w:r w:rsidR="00454B3D">
        <w:rPr>
          <w:lang w:val="en-US"/>
        </w:rPr>
        <w:t xml:space="preserve">, </w:t>
      </w:r>
      <w:r w:rsidR="00454B3D" w:rsidRPr="009751C4">
        <w:rPr>
          <w:color w:val="00B0F0"/>
          <w:lang w:val="en-US"/>
        </w:rPr>
        <w:t>(2007)</w:t>
      </w:r>
      <w:r w:rsidR="00454B3D">
        <w:rPr>
          <w:lang w:val="en-US"/>
        </w:rPr>
        <w:t xml:space="preserve"> </w:t>
      </w:r>
      <w:r w:rsidR="009751C4">
        <w:rPr>
          <w:lang w:val="en-US"/>
        </w:rPr>
        <w:t xml:space="preserve">menjelaskan </w:t>
      </w:r>
      <w:r w:rsidR="00454B3D">
        <w:rPr>
          <w:lang w:val="en-US"/>
        </w:rPr>
        <w:t>perilaku a</w:t>
      </w:r>
      <w:r w:rsidR="00454B3D" w:rsidRPr="00454B3D">
        <w:rPr>
          <w:lang w:val="en-US"/>
        </w:rPr>
        <w:t>dopsi konsumen terhadap pasar elektronik</w:t>
      </w:r>
      <w:r w:rsidR="00454B3D">
        <w:rPr>
          <w:lang w:val="en-US"/>
        </w:rPr>
        <w:t xml:space="preserve"> t</w:t>
      </w:r>
      <w:r w:rsidR="00454B3D" w:rsidRPr="00454B3D">
        <w:rPr>
          <w:lang w:val="en-US"/>
        </w:rPr>
        <w:t xml:space="preserve">erkait </w:t>
      </w:r>
      <w:r w:rsidR="00BB191F">
        <w:rPr>
          <w:lang w:val="en-US"/>
        </w:rPr>
        <w:t xml:space="preserve">dengan </w:t>
      </w:r>
      <w:r w:rsidR="00454B3D" w:rsidRPr="00454B3D">
        <w:rPr>
          <w:lang w:val="en-US"/>
        </w:rPr>
        <w:t xml:space="preserve">budaya dan </w:t>
      </w:r>
      <w:r w:rsidR="00454B3D">
        <w:rPr>
          <w:lang w:val="en-US"/>
        </w:rPr>
        <w:t>fasilitas</w:t>
      </w:r>
      <w:r w:rsidR="00E16373">
        <w:rPr>
          <w:lang w:val="en-US"/>
        </w:rPr>
        <w:t xml:space="preserve">. </w:t>
      </w:r>
      <w:r w:rsidR="00E16373" w:rsidRPr="00E4095E">
        <w:rPr>
          <w:color w:val="00B0F0"/>
          <w:lang w:val="en-US"/>
        </w:rPr>
        <w:t>Huse</w:t>
      </w:r>
      <w:r w:rsidR="00674655">
        <w:rPr>
          <w:color w:val="00B0F0"/>
          <w:lang w:val="en-US"/>
        </w:rPr>
        <w:t>y</w:t>
      </w:r>
      <w:r w:rsidR="00E16373" w:rsidRPr="00E4095E">
        <w:rPr>
          <w:color w:val="00B0F0"/>
          <w:lang w:val="en-US"/>
        </w:rPr>
        <w:t>nov, dkk (2019)</w:t>
      </w:r>
      <w:r w:rsidR="00E16373">
        <w:rPr>
          <w:lang w:val="en-US"/>
        </w:rPr>
        <w:t xml:space="preserve"> </w:t>
      </w:r>
      <w:r w:rsidR="009751C4">
        <w:rPr>
          <w:lang w:val="en-US"/>
        </w:rPr>
        <w:t>mengungkapkan p</w:t>
      </w:r>
      <w:r w:rsidR="00E16373" w:rsidRPr="00E16373">
        <w:rPr>
          <w:lang w:val="en-US"/>
        </w:rPr>
        <w:t>erilaku konsumen dalam platform e-commerce</w:t>
      </w:r>
      <w:r w:rsidR="00E16373">
        <w:rPr>
          <w:lang w:val="en-US"/>
        </w:rPr>
        <w:t xml:space="preserve"> ditentukan oleh </w:t>
      </w:r>
      <w:r w:rsidR="00E16373" w:rsidRPr="00E16373">
        <w:rPr>
          <w:lang w:val="en-US"/>
        </w:rPr>
        <w:t>karakteristik perilaku setiap segmen konsumen</w:t>
      </w:r>
      <w:r w:rsidR="00961ABB">
        <w:rPr>
          <w:lang w:val="en-US"/>
        </w:rPr>
        <w:t>nya</w:t>
      </w:r>
      <w:r w:rsidR="00E4095E">
        <w:rPr>
          <w:lang w:val="en-US"/>
        </w:rPr>
        <w:t>.</w:t>
      </w:r>
      <w:r w:rsidR="004D6CE2">
        <w:rPr>
          <w:lang w:val="en-US"/>
        </w:rPr>
        <w:t xml:space="preserve"> </w:t>
      </w:r>
      <w:r>
        <w:rPr>
          <w:lang w:val="en-US"/>
        </w:rPr>
        <w:t xml:space="preserve">Namun, penyelidikan lebih lanjut </w:t>
      </w:r>
      <w:r w:rsidR="00B13BDF">
        <w:rPr>
          <w:lang w:val="en-US"/>
        </w:rPr>
        <w:t xml:space="preserve">pada </w:t>
      </w:r>
      <w:r w:rsidR="00687B9D">
        <w:rPr>
          <w:lang w:val="en-US"/>
        </w:rPr>
        <w:t xml:space="preserve">perilaku actual akibat gejala social </w:t>
      </w:r>
      <w:r w:rsidR="009751C4">
        <w:rPr>
          <w:lang w:val="en-US"/>
        </w:rPr>
        <w:t>(</w:t>
      </w:r>
      <w:r w:rsidR="00987FB2" w:rsidRPr="005C5E8A">
        <w:rPr>
          <w:color w:val="00B0F0"/>
          <w:lang w:val="en-US"/>
        </w:rPr>
        <w:t>Baumeister, dkk. 2007;401</w:t>
      </w:r>
      <w:r w:rsidR="009751C4">
        <w:rPr>
          <w:lang w:val="en-US"/>
        </w:rPr>
        <w:t xml:space="preserve">) dalam mempengaruhi </w:t>
      </w:r>
      <w:r w:rsidR="005C5E8A">
        <w:rPr>
          <w:lang w:val="en-US"/>
        </w:rPr>
        <w:t xml:space="preserve">sikap </w:t>
      </w:r>
      <w:r w:rsidR="00B13BDF">
        <w:rPr>
          <w:lang w:val="en-US"/>
        </w:rPr>
        <w:t xml:space="preserve">konsumen </w:t>
      </w:r>
      <w:r w:rsidR="005C5E8A">
        <w:rPr>
          <w:lang w:val="en-US"/>
        </w:rPr>
        <w:t xml:space="preserve">agar </w:t>
      </w:r>
      <w:r w:rsidR="009751C4">
        <w:rPr>
          <w:lang w:val="en-US"/>
        </w:rPr>
        <w:t xml:space="preserve">mau </w:t>
      </w:r>
      <w:r w:rsidR="005C5E8A">
        <w:rPr>
          <w:lang w:val="en-US"/>
        </w:rPr>
        <w:t>ber</w:t>
      </w:r>
      <w:r w:rsidR="00B13BDF">
        <w:rPr>
          <w:lang w:val="en-US"/>
        </w:rPr>
        <w:t xml:space="preserve">transaksi online </w:t>
      </w:r>
      <w:r w:rsidR="00A04A7F">
        <w:rPr>
          <w:lang w:val="en-US"/>
        </w:rPr>
        <w:t xml:space="preserve">perlu </w:t>
      </w:r>
      <w:r w:rsidR="00B13BDF">
        <w:rPr>
          <w:lang w:val="en-US"/>
        </w:rPr>
        <w:t xml:space="preserve">dikaji </w:t>
      </w:r>
      <w:r w:rsidR="00A04A7F">
        <w:rPr>
          <w:lang w:val="en-US"/>
        </w:rPr>
        <w:t>lebih jauh</w:t>
      </w:r>
      <w:r w:rsidR="0049087D">
        <w:rPr>
          <w:lang w:val="en-US"/>
        </w:rPr>
        <w:t>.</w:t>
      </w:r>
      <w:r w:rsidR="005239D5">
        <w:rPr>
          <w:lang w:val="en-US"/>
        </w:rPr>
        <w:t xml:space="preserve"> Dimana</w:t>
      </w:r>
      <w:r w:rsidR="0049087D">
        <w:rPr>
          <w:lang w:val="en-US"/>
        </w:rPr>
        <w:t xml:space="preserve"> </w:t>
      </w:r>
      <w:r w:rsidR="007E738A" w:rsidRPr="004614BB">
        <w:rPr>
          <w:color w:val="00B0F0"/>
          <w:lang w:val="en-US"/>
        </w:rPr>
        <w:t>Bauman dan Bachman (2017)</w:t>
      </w:r>
      <w:r w:rsidR="00DC3A59">
        <w:rPr>
          <w:lang w:val="en-US"/>
        </w:rPr>
        <w:t xml:space="preserve"> menjelaskan </w:t>
      </w:r>
      <w:r w:rsidR="00DC3A59" w:rsidRPr="00DC3A59">
        <w:rPr>
          <w:lang w:val="en-US"/>
        </w:rPr>
        <w:t xml:space="preserve">konsumen </w:t>
      </w:r>
      <w:r w:rsidR="006008F4">
        <w:rPr>
          <w:lang w:val="en-US"/>
        </w:rPr>
        <w:t xml:space="preserve">adalah </w:t>
      </w:r>
      <w:r w:rsidR="00DC3A59" w:rsidRPr="00DC3A59">
        <w:rPr>
          <w:lang w:val="en-US"/>
        </w:rPr>
        <w:t>pusat pemahaman kepercayaan</w:t>
      </w:r>
      <w:r w:rsidR="00DC3A59">
        <w:rPr>
          <w:lang w:val="en-US"/>
        </w:rPr>
        <w:t xml:space="preserve"> </w:t>
      </w:r>
      <w:r w:rsidR="006008F4">
        <w:rPr>
          <w:lang w:val="en-US"/>
        </w:rPr>
        <w:t xml:space="preserve">dalam </w:t>
      </w:r>
      <w:r w:rsidR="00DC3A59" w:rsidRPr="00DC3A59">
        <w:rPr>
          <w:lang w:val="en-US"/>
        </w:rPr>
        <w:t>lingkungan</w:t>
      </w:r>
      <w:r w:rsidR="004614BB">
        <w:rPr>
          <w:lang w:val="en-US"/>
        </w:rPr>
        <w:t xml:space="preserve"> market</w:t>
      </w:r>
      <w:r w:rsidR="00DC3A59" w:rsidRPr="00DC3A59">
        <w:rPr>
          <w:lang w:val="en-US"/>
        </w:rPr>
        <w:t xml:space="preserve"> online</w:t>
      </w:r>
      <w:r w:rsidR="00CB1661">
        <w:rPr>
          <w:lang w:val="en-US"/>
        </w:rPr>
        <w:t xml:space="preserve"> dan m</w:t>
      </w:r>
      <w:r w:rsidR="00FD7CFB">
        <w:rPr>
          <w:lang w:val="en-US"/>
        </w:rPr>
        <w:t xml:space="preserve">eningkatnya hubungan </w:t>
      </w:r>
      <w:r w:rsidR="00D12E7C">
        <w:rPr>
          <w:lang w:val="en-US"/>
        </w:rPr>
        <w:t xml:space="preserve">kepercayaan </w:t>
      </w:r>
      <w:r w:rsidR="006008F4">
        <w:rPr>
          <w:lang w:val="en-US"/>
        </w:rPr>
        <w:t>ini</w:t>
      </w:r>
      <w:r w:rsidR="005E7FED">
        <w:rPr>
          <w:lang w:val="en-US"/>
        </w:rPr>
        <w:t xml:space="preserve"> mengarah kepada peningkatan penjualan (</w:t>
      </w:r>
      <w:r w:rsidR="0037631C" w:rsidRPr="00736BD4">
        <w:rPr>
          <w:color w:val="00B0F0"/>
          <w:lang w:val="en-US"/>
        </w:rPr>
        <w:t>Wang &amp; Fodness, 2010</w:t>
      </w:r>
      <w:r w:rsidR="005E7FED">
        <w:rPr>
          <w:lang w:val="en-US"/>
        </w:rPr>
        <w:t>)</w:t>
      </w:r>
      <w:r w:rsidR="006008F4">
        <w:rPr>
          <w:lang w:val="en-US"/>
        </w:rPr>
        <w:t xml:space="preserve">, </w:t>
      </w:r>
      <w:r w:rsidR="00464A35">
        <w:rPr>
          <w:lang w:val="en-US"/>
        </w:rPr>
        <w:t>loyalitas (</w:t>
      </w:r>
      <w:r w:rsidR="00736BD4" w:rsidRPr="00736BD4">
        <w:rPr>
          <w:color w:val="00B0F0"/>
          <w:lang w:val="en-US"/>
        </w:rPr>
        <w:t>Hong &amp; Cho, 2011;</w:t>
      </w:r>
      <w:r w:rsidR="00736BD4">
        <w:rPr>
          <w:lang w:val="en-US"/>
        </w:rPr>
        <w:t xml:space="preserve"> </w:t>
      </w:r>
      <w:r w:rsidR="00C6142F" w:rsidRPr="00736BD4">
        <w:rPr>
          <w:color w:val="00B0F0"/>
          <w:lang w:val="en-US"/>
        </w:rPr>
        <w:t>Flavian &amp; Guinalu, 2006</w:t>
      </w:r>
      <w:r w:rsidR="00464A35">
        <w:rPr>
          <w:lang w:val="en-US"/>
        </w:rPr>
        <w:t>)</w:t>
      </w:r>
      <w:r w:rsidR="00A94D48">
        <w:rPr>
          <w:lang w:val="en-US"/>
        </w:rPr>
        <w:t>, perubahan pada gaya hidup (</w:t>
      </w:r>
      <w:r w:rsidR="00CA53AD" w:rsidRPr="00CA53AD">
        <w:rPr>
          <w:color w:val="00B0F0"/>
          <w:lang w:val="en-US"/>
        </w:rPr>
        <w:t>Alotaibi,</w:t>
      </w:r>
      <w:r w:rsidR="00CA53AD">
        <w:rPr>
          <w:color w:val="00B0F0"/>
          <w:lang w:val="en-US"/>
        </w:rPr>
        <w:t xml:space="preserve"> dkk. 2019; </w:t>
      </w:r>
      <w:r w:rsidR="002934B5" w:rsidRPr="002934B5">
        <w:rPr>
          <w:color w:val="00B0F0"/>
          <w:lang w:val="en-US"/>
        </w:rPr>
        <w:t>Ahmad, dkk. 2010</w:t>
      </w:r>
      <w:r w:rsidR="00A94D48">
        <w:rPr>
          <w:lang w:val="en-US"/>
        </w:rPr>
        <w:t>) dan kebiasaan</w:t>
      </w:r>
      <w:r w:rsidR="00A84B00">
        <w:rPr>
          <w:lang w:val="en-US"/>
        </w:rPr>
        <w:t>/trend</w:t>
      </w:r>
      <w:r w:rsidR="00A94D48">
        <w:rPr>
          <w:lang w:val="en-US"/>
        </w:rPr>
        <w:t xml:space="preserve"> (</w:t>
      </w:r>
      <w:r w:rsidR="00C83400" w:rsidRPr="00C83400">
        <w:rPr>
          <w:color w:val="00B0F0"/>
          <w:lang w:val="en-US"/>
        </w:rPr>
        <w:t>Bauman &amp; Bachmann, 2017; Teo &amp; Liu, 2007</w:t>
      </w:r>
      <w:r w:rsidR="00A94D48">
        <w:rPr>
          <w:lang w:val="en-US"/>
        </w:rPr>
        <w:t xml:space="preserve">). </w:t>
      </w:r>
      <w:r w:rsidR="004D79D6">
        <w:rPr>
          <w:lang w:val="en-US"/>
        </w:rPr>
        <w:t xml:space="preserve">Dengan demikian, perilaku konsumen mungkin </w:t>
      </w:r>
      <w:r w:rsidR="00A45BC8">
        <w:rPr>
          <w:lang w:val="en-US"/>
        </w:rPr>
        <w:t>berasal dari perubahan social (</w:t>
      </w:r>
      <w:r w:rsidR="004D79D6">
        <w:rPr>
          <w:lang w:val="en-US"/>
        </w:rPr>
        <w:t>gaya hidup</w:t>
      </w:r>
      <w:r w:rsidR="00A45BC8">
        <w:rPr>
          <w:lang w:val="en-US"/>
        </w:rPr>
        <w:t xml:space="preserve">, </w:t>
      </w:r>
      <w:r w:rsidR="004D79D6">
        <w:rPr>
          <w:lang w:val="en-US"/>
        </w:rPr>
        <w:t>trend</w:t>
      </w:r>
      <w:r w:rsidR="00BD0171">
        <w:rPr>
          <w:lang w:val="en-US"/>
        </w:rPr>
        <w:t xml:space="preserve"> dan </w:t>
      </w:r>
      <w:r w:rsidR="00A45BC8">
        <w:rPr>
          <w:lang w:val="en-US"/>
        </w:rPr>
        <w:t xml:space="preserve">informasi </w:t>
      </w:r>
      <w:r w:rsidR="00BD0171">
        <w:rPr>
          <w:lang w:val="en-US"/>
        </w:rPr>
        <w:t>harga</w:t>
      </w:r>
      <w:r w:rsidR="00A45BC8">
        <w:rPr>
          <w:lang w:val="en-US"/>
        </w:rPr>
        <w:t>)</w:t>
      </w:r>
      <w:r w:rsidR="004D79D6">
        <w:rPr>
          <w:lang w:val="en-US"/>
        </w:rPr>
        <w:t>.</w:t>
      </w:r>
      <w:r w:rsidR="00A45BC8">
        <w:rPr>
          <w:lang w:val="en-US"/>
        </w:rPr>
        <w:t>dalam mempengaruhi keputusan</w:t>
      </w:r>
      <w:r w:rsidR="004D0AC3">
        <w:rPr>
          <w:lang w:val="en-US"/>
        </w:rPr>
        <w:t>nya bertransaksi online.</w:t>
      </w:r>
    </w:p>
    <w:p w14:paraId="6A098AC6" w14:textId="77F0B282" w:rsidR="004614BB" w:rsidRDefault="0055705C" w:rsidP="008540C3">
      <w:pPr>
        <w:rPr>
          <w:lang w:val="en-US"/>
        </w:rPr>
      </w:pPr>
      <w:r>
        <w:rPr>
          <w:lang w:val="en-US"/>
        </w:rPr>
        <w:t xml:space="preserve">Selain itu, </w:t>
      </w:r>
      <w:r w:rsidR="009129E8">
        <w:rPr>
          <w:lang w:val="en-US"/>
        </w:rPr>
        <w:t xml:space="preserve">belum ada penelitian yang </w:t>
      </w:r>
      <w:r w:rsidR="00CE3FAE">
        <w:rPr>
          <w:lang w:val="en-US"/>
        </w:rPr>
        <w:t xml:space="preserve">menyelidiki </w:t>
      </w:r>
      <w:r w:rsidR="009129E8">
        <w:rPr>
          <w:lang w:val="en-US"/>
        </w:rPr>
        <w:t xml:space="preserve">pengaruh </w:t>
      </w:r>
      <w:r w:rsidR="005B519B">
        <w:rPr>
          <w:lang w:val="en-US"/>
        </w:rPr>
        <w:t>kebijakan e-tax pada hubungan perilaku konsumen</w:t>
      </w:r>
      <w:r w:rsidR="00B553DA">
        <w:rPr>
          <w:lang w:val="en-US"/>
        </w:rPr>
        <w:t xml:space="preserve"> dan </w:t>
      </w:r>
      <w:r w:rsidR="005B519B">
        <w:rPr>
          <w:lang w:val="en-US"/>
        </w:rPr>
        <w:t xml:space="preserve">transaksi online. </w:t>
      </w:r>
      <w:r w:rsidR="005D1495">
        <w:rPr>
          <w:lang w:val="en-US"/>
        </w:rPr>
        <w:t xml:space="preserve">Pajak perdagangan elektronik pada platform aplikasi digital adalah pungutan dan setoran pajak yang akan dibebankan kepada orang atau badan yang melakukan kegiatan </w:t>
      </w:r>
      <w:r w:rsidR="00CB637F">
        <w:rPr>
          <w:lang w:val="en-US"/>
        </w:rPr>
        <w:t xml:space="preserve">transaksi melalui </w:t>
      </w:r>
      <w:r w:rsidR="005D1495">
        <w:rPr>
          <w:lang w:val="en-US"/>
        </w:rPr>
        <w:t>e-commerce</w:t>
      </w:r>
      <w:r w:rsidR="005D1495">
        <w:rPr>
          <w:rStyle w:val="FootnoteReference"/>
          <w:lang w:val="en-US"/>
        </w:rPr>
        <w:footnoteReference w:id="1"/>
      </w:r>
      <w:r w:rsidR="005D1495">
        <w:rPr>
          <w:lang w:val="en-US"/>
        </w:rPr>
        <w:t xml:space="preserve"> dan di Indonesia sudah 51 platform online dikenakan pajak </w:t>
      </w:r>
      <w:r w:rsidR="00CB637F">
        <w:rPr>
          <w:lang w:val="en-US"/>
        </w:rPr>
        <w:t>pertambahan nilai (</w:t>
      </w:r>
      <w:r w:rsidR="005D1495">
        <w:rPr>
          <w:lang w:val="en-US"/>
        </w:rPr>
        <w:t>VAT</w:t>
      </w:r>
      <w:r w:rsidR="00CB637F">
        <w:rPr>
          <w:lang w:val="en-US"/>
        </w:rPr>
        <w:t>)</w:t>
      </w:r>
      <w:r w:rsidR="005D1495">
        <w:rPr>
          <w:rStyle w:val="FootnoteReference"/>
          <w:lang w:val="en-US"/>
        </w:rPr>
        <w:footnoteReference w:id="2"/>
      </w:r>
      <w:r w:rsidR="005D1495">
        <w:rPr>
          <w:lang w:val="en-US"/>
        </w:rPr>
        <w:t xml:space="preserve">. </w:t>
      </w:r>
      <w:r w:rsidR="00F95E4C">
        <w:rPr>
          <w:lang w:val="en-US"/>
        </w:rPr>
        <w:t>T</w:t>
      </w:r>
      <w:r w:rsidR="00E74A42">
        <w:rPr>
          <w:lang w:val="en-US"/>
        </w:rPr>
        <w:t xml:space="preserve">untutan penerapan kebijakan pajak elektronik </w:t>
      </w:r>
      <w:r w:rsidR="004F019D">
        <w:rPr>
          <w:lang w:val="en-US"/>
        </w:rPr>
        <w:t xml:space="preserve">pada platform transaksi online </w:t>
      </w:r>
      <w:r w:rsidR="00E74A42">
        <w:rPr>
          <w:lang w:val="en-US"/>
        </w:rPr>
        <w:t>semakin mendesak (</w:t>
      </w:r>
      <w:r w:rsidR="006C179A" w:rsidRPr="004F019D">
        <w:rPr>
          <w:color w:val="00B0F0"/>
          <w:lang w:val="en-US"/>
        </w:rPr>
        <w:t>Agrawal &amp; Fox</w:t>
      </w:r>
      <w:r w:rsidR="00BA11FE">
        <w:rPr>
          <w:color w:val="00B0F0"/>
          <w:lang w:val="en-US"/>
        </w:rPr>
        <w:t xml:space="preserve">, </w:t>
      </w:r>
      <w:r w:rsidR="006C179A" w:rsidRPr="004F019D">
        <w:rPr>
          <w:color w:val="00B0F0"/>
          <w:lang w:val="en-US"/>
        </w:rPr>
        <w:t>2017</w:t>
      </w:r>
      <w:r w:rsidR="00BA11FE">
        <w:rPr>
          <w:color w:val="00B0F0"/>
          <w:lang w:val="en-US"/>
        </w:rPr>
        <w:t xml:space="preserve">; Ward &amp; Sipior, 2004; </w:t>
      </w:r>
      <w:r w:rsidR="004F019D" w:rsidRPr="004F019D">
        <w:rPr>
          <w:color w:val="00B0F0"/>
          <w:lang w:val="en-US"/>
        </w:rPr>
        <w:t>Jones &amp; Basu, 2002</w:t>
      </w:r>
      <w:r w:rsidR="004F019D">
        <w:rPr>
          <w:lang w:val="en-US"/>
        </w:rPr>
        <w:t>)</w:t>
      </w:r>
      <w:r w:rsidR="00471AF3">
        <w:rPr>
          <w:lang w:val="en-US"/>
        </w:rPr>
        <w:t xml:space="preserve">. </w:t>
      </w:r>
      <w:r w:rsidR="004F019D">
        <w:rPr>
          <w:lang w:val="en-US"/>
        </w:rPr>
        <w:t xml:space="preserve">Disisi lain, </w:t>
      </w:r>
      <w:r w:rsidR="004F019D" w:rsidRPr="004F019D">
        <w:rPr>
          <w:lang w:val="en-US"/>
        </w:rPr>
        <w:t>administrasi pajak di area e-commerce</w:t>
      </w:r>
      <w:r w:rsidR="004F019D">
        <w:rPr>
          <w:lang w:val="en-US"/>
        </w:rPr>
        <w:t xml:space="preserve"> memiliki ragam masalah (</w:t>
      </w:r>
      <w:r w:rsidR="00471AF3" w:rsidRPr="00BD35DB">
        <w:rPr>
          <w:color w:val="00B0F0"/>
          <w:lang w:val="en-US"/>
        </w:rPr>
        <w:t>Zeng, dkk. 2012</w:t>
      </w:r>
      <w:r w:rsidR="00BD35DB" w:rsidRPr="00BD35DB">
        <w:rPr>
          <w:color w:val="00B0F0"/>
          <w:lang w:val="en-US"/>
        </w:rPr>
        <w:t>; McLure, 2003</w:t>
      </w:r>
      <w:r w:rsidR="00471AF3">
        <w:rPr>
          <w:lang w:val="en-US"/>
        </w:rPr>
        <w:t>)</w:t>
      </w:r>
      <w:r w:rsidR="001B732A">
        <w:rPr>
          <w:lang w:val="en-US"/>
        </w:rPr>
        <w:t>.</w:t>
      </w:r>
      <w:r w:rsidR="00777321">
        <w:rPr>
          <w:lang w:val="en-US"/>
        </w:rPr>
        <w:t xml:space="preserve"> </w:t>
      </w:r>
      <w:r w:rsidR="001B732A">
        <w:rPr>
          <w:lang w:val="en-US"/>
        </w:rPr>
        <w:t xml:space="preserve">Oleh sebab itu penelitian </w:t>
      </w:r>
      <w:r w:rsidR="001B732A" w:rsidRPr="004E6F99">
        <w:rPr>
          <w:rFonts w:cs="Times New Roman"/>
          <w:szCs w:val="24"/>
        </w:rPr>
        <w:t>tepat waktu harus dilakukan untuk menyelidiki masalah ini</w:t>
      </w:r>
      <w:r w:rsidR="004614BB">
        <w:rPr>
          <w:rFonts w:cs="Times New Roman"/>
          <w:szCs w:val="24"/>
          <w:lang w:val="en-US"/>
        </w:rPr>
        <w:t>.</w:t>
      </w:r>
    </w:p>
    <w:p w14:paraId="422610C1" w14:textId="36524AA6" w:rsidR="008540C3" w:rsidRPr="0055705C" w:rsidRDefault="00753A66" w:rsidP="008540C3">
      <w:pPr>
        <w:rPr>
          <w:lang w:val="en-US"/>
        </w:rPr>
      </w:pPr>
      <w:r>
        <w:rPr>
          <w:lang w:val="en-US"/>
        </w:rPr>
        <w:t xml:space="preserve">Penelitian ini bertujuan untuk </w:t>
      </w:r>
      <w:r w:rsidR="006F0116">
        <w:rPr>
          <w:lang w:val="en-US"/>
        </w:rPr>
        <w:t xml:space="preserve">berkontribusi pada literatur yang ada dengan menyelidiki dampak dari perilaku belanja melalui trend, gaya hidup dan price disperse terhadap keputusan melakukan transaksi online. Selain itu penelitian ini juga </w:t>
      </w:r>
      <w:r w:rsidR="00AE2A4D">
        <w:rPr>
          <w:lang w:val="en-US"/>
        </w:rPr>
        <w:t xml:space="preserve">menyelidiki </w:t>
      </w:r>
      <w:r w:rsidR="006F0116">
        <w:rPr>
          <w:lang w:val="en-US"/>
        </w:rPr>
        <w:t xml:space="preserve">peluang </w:t>
      </w:r>
      <w:r w:rsidR="00AE2A4D">
        <w:rPr>
          <w:lang w:val="en-US"/>
        </w:rPr>
        <w:t xml:space="preserve">bisnis oleh </w:t>
      </w:r>
      <w:r w:rsidR="003334C0">
        <w:rPr>
          <w:lang w:val="en-US"/>
        </w:rPr>
        <w:t>pedagang</w:t>
      </w:r>
      <w:r w:rsidR="00CE3FAE">
        <w:rPr>
          <w:lang w:val="en-US"/>
        </w:rPr>
        <w:t xml:space="preserve"> </w:t>
      </w:r>
      <w:r w:rsidR="006F0116">
        <w:rPr>
          <w:lang w:val="en-US"/>
        </w:rPr>
        <w:t xml:space="preserve">online </w:t>
      </w:r>
      <w:r w:rsidR="00CE3FAE">
        <w:rPr>
          <w:lang w:val="en-US"/>
        </w:rPr>
        <w:t>di Indonesia (</w:t>
      </w:r>
      <w:r w:rsidR="00DA27EE" w:rsidRPr="008F53F8">
        <w:rPr>
          <w:color w:val="00B0F0"/>
          <w:lang w:val="en-US"/>
        </w:rPr>
        <w:t>Sumarliah, dkk. 2021;</w:t>
      </w:r>
      <w:r w:rsidR="008F53F8" w:rsidRPr="008F53F8">
        <w:rPr>
          <w:color w:val="00B0F0"/>
          <w:lang w:val="en-US"/>
        </w:rPr>
        <w:t xml:space="preserve"> Lestari, 2019</w:t>
      </w:r>
      <w:r w:rsidR="00CE3FAE">
        <w:rPr>
          <w:lang w:val="en-US"/>
        </w:rPr>
        <w:t>)</w:t>
      </w:r>
      <w:r w:rsidR="00171734">
        <w:rPr>
          <w:lang w:val="en-US"/>
        </w:rPr>
        <w:t xml:space="preserve"> dan memberikan implikasi pemasaran bagi pelaku bisnis yang beroperasi di pasar ini.</w:t>
      </w:r>
      <w:r w:rsidR="00CE3FAE">
        <w:rPr>
          <w:lang w:val="en-US"/>
        </w:rPr>
        <w:t xml:space="preserve"> </w:t>
      </w:r>
      <w:r w:rsidR="009359DF">
        <w:rPr>
          <w:lang w:val="en-US"/>
        </w:rPr>
        <w:t>Lebih lanjut</w:t>
      </w:r>
      <w:r w:rsidR="00CE3FAE">
        <w:rPr>
          <w:lang w:val="en-US"/>
        </w:rPr>
        <w:t>,</w:t>
      </w:r>
      <w:r w:rsidR="009359DF">
        <w:rPr>
          <w:lang w:val="en-US"/>
        </w:rPr>
        <w:t xml:space="preserve"> mengenai </w:t>
      </w:r>
      <w:r w:rsidR="00CE3FAE">
        <w:rPr>
          <w:lang w:val="en-US"/>
        </w:rPr>
        <w:t xml:space="preserve">kontribusi penting lainnya dari penelitian dapat dilihat pada </w:t>
      </w:r>
      <w:r w:rsidR="002828F5">
        <w:rPr>
          <w:lang w:val="en-US"/>
        </w:rPr>
        <w:t>mediasi</w:t>
      </w:r>
      <w:r w:rsidR="00CE3FAE">
        <w:rPr>
          <w:lang w:val="en-US"/>
        </w:rPr>
        <w:t xml:space="preserve"> e-tax untuk hubungan perilaku belanja terhadap transaksi online. </w:t>
      </w:r>
      <w:r w:rsidR="00D70DBE">
        <w:rPr>
          <w:lang w:val="en-US"/>
        </w:rPr>
        <w:t xml:space="preserve">Temuan dalam penelitian ini diharapkan dapat </w:t>
      </w:r>
      <w:r w:rsidR="00D70DBE">
        <w:rPr>
          <w:lang w:val="en-US"/>
        </w:rPr>
        <w:lastRenderedPageBreak/>
        <w:t xml:space="preserve">memperluas pengetahuan tentang perilaku berbelanja online dan </w:t>
      </w:r>
      <w:r w:rsidR="00CE3FAE">
        <w:rPr>
          <w:lang w:val="en-US"/>
        </w:rPr>
        <w:t>membantu para pembuat kebijakan</w:t>
      </w:r>
      <w:r w:rsidR="00E77EC1">
        <w:rPr>
          <w:lang w:val="en-US"/>
        </w:rPr>
        <w:t xml:space="preserve"> pajak pertambahan nilai (VAT) pada platform online.</w:t>
      </w:r>
      <w:r w:rsidR="00D70DBE">
        <w:rPr>
          <w:lang w:val="en-US"/>
        </w:rPr>
        <w:t xml:space="preserve"> </w:t>
      </w:r>
    </w:p>
    <w:p w14:paraId="719CC39D" w14:textId="77777777" w:rsidR="004344AF" w:rsidRDefault="00435A88" w:rsidP="004344AF">
      <w:pPr>
        <w:pStyle w:val="Heading1"/>
      </w:pPr>
      <w:r>
        <w:t xml:space="preserve">2. </w:t>
      </w:r>
      <w:r w:rsidR="004344AF">
        <w:t>The Art Of Research</w:t>
      </w:r>
    </w:p>
    <w:p w14:paraId="26093FAB" w14:textId="0505C60A" w:rsidR="004344AF" w:rsidRDefault="00435A88" w:rsidP="00E46125">
      <w:pPr>
        <w:pStyle w:val="Heading2"/>
        <w:rPr>
          <w:lang w:val="en-US"/>
        </w:rPr>
      </w:pPr>
      <w:r>
        <w:t xml:space="preserve">2.1. </w:t>
      </w:r>
      <w:r w:rsidR="00304517">
        <w:rPr>
          <w:lang w:val="en-US"/>
        </w:rPr>
        <w:t xml:space="preserve">Hubungan tren belanja </w:t>
      </w:r>
      <w:r w:rsidR="007A52FF">
        <w:rPr>
          <w:lang w:val="en-US"/>
        </w:rPr>
        <w:t>dan</w:t>
      </w:r>
      <w:r w:rsidR="00304517">
        <w:rPr>
          <w:lang w:val="en-US"/>
        </w:rPr>
        <w:t xml:space="preserve"> </w:t>
      </w:r>
      <w:r w:rsidR="002A47F9">
        <w:rPr>
          <w:lang w:val="en-US"/>
        </w:rPr>
        <w:t>transaksi</w:t>
      </w:r>
      <w:r w:rsidR="00304517">
        <w:rPr>
          <w:lang w:val="en-US"/>
        </w:rPr>
        <w:t xml:space="preserve"> online</w:t>
      </w:r>
    </w:p>
    <w:p w14:paraId="5811036E" w14:textId="167DA8C4" w:rsidR="000D4C4F" w:rsidRDefault="0017483D" w:rsidP="000D4C4F">
      <w:pPr>
        <w:rPr>
          <w:lang w:val="en-US"/>
        </w:rPr>
      </w:pPr>
      <w:r w:rsidRPr="0017483D">
        <w:rPr>
          <w:lang w:val="en-US"/>
        </w:rPr>
        <w:t xml:space="preserve">Konsumen </w:t>
      </w:r>
      <w:r>
        <w:rPr>
          <w:lang w:val="en-US"/>
        </w:rPr>
        <w:t>eletronik online</w:t>
      </w:r>
      <w:r w:rsidRPr="0017483D">
        <w:rPr>
          <w:lang w:val="en-US"/>
        </w:rPr>
        <w:t xml:space="preserve"> umumnya mengacu pada pembeli barang dan jasa melalui sistem elektronik seperti </w:t>
      </w:r>
      <w:r>
        <w:rPr>
          <w:lang w:val="en-US"/>
        </w:rPr>
        <w:t>i</w:t>
      </w:r>
      <w:r w:rsidRPr="0017483D">
        <w:rPr>
          <w:lang w:val="en-US"/>
        </w:rPr>
        <w:t>nternet dan jaringan komputer lainnya</w:t>
      </w:r>
      <w:r>
        <w:rPr>
          <w:lang w:val="en-US"/>
        </w:rPr>
        <w:t xml:space="preserve"> </w:t>
      </w:r>
      <w:r w:rsidR="003456C2">
        <w:rPr>
          <w:lang w:val="en-US"/>
        </w:rPr>
        <w:t>(e-commerce</w:t>
      </w:r>
      <w:r w:rsidR="00AE0971">
        <w:rPr>
          <w:lang w:val="en-US"/>
        </w:rPr>
        <w:t xml:space="preserve"> &amp; e-money</w:t>
      </w:r>
      <w:r w:rsidR="003456C2">
        <w:rPr>
          <w:lang w:val="en-US"/>
        </w:rPr>
        <w:t xml:space="preserve">) </w:t>
      </w:r>
      <w:r>
        <w:rPr>
          <w:lang w:val="en-US"/>
        </w:rPr>
        <w:t>(</w:t>
      </w:r>
      <w:r w:rsidR="0008145B" w:rsidRPr="0008145B">
        <w:rPr>
          <w:color w:val="00B0F0"/>
          <w:lang w:val="en-US"/>
        </w:rPr>
        <w:t>Baye, dkk. 2004</w:t>
      </w:r>
      <w:r>
        <w:rPr>
          <w:lang w:val="en-US"/>
        </w:rPr>
        <w:t>)</w:t>
      </w:r>
      <w:r w:rsidRPr="0017483D">
        <w:rPr>
          <w:lang w:val="en-US"/>
        </w:rPr>
        <w:t>. Kelompok ini semakin bertambah jumlahnya</w:t>
      </w:r>
      <w:r>
        <w:rPr>
          <w:lang w:val="en-US"/>
        </w:rPr>
        <w:t xml:space="preserve"> sejak </w:t>
      </w:r>
      <w:r w:rsidRPr="0017483D">
        <w:rPr>
          <w:lang w:val="en-US"/>
        </w:rPr>
        <w:t>belanja online menjadi tren</w:t>
      </w:r>
      <w:r>
        <w:rPr>
          <w:lang w:val="en-US"/>
        </w:rPr>
        <w:t xml:space="preserve"> dan gaya hidup (</w:t>
      </w:r>
      <w:r w:rsidR="00177D86" w:rsidRPr="00177D86">
        <w:rPr>
          <w:color w:val="00B0F0"/>
          <w:lang w:val="en-US"/>
        </w:rPr>
        <w:t>Amin &amp; Mohd Nor, 2013</w:t>
      </w:r>
      <w:r>
        <w:rPr>
          <w:lang w:val="en-US"/>
        </w:rPr>
        <w:t xml:space="preserve">). </w:t>
      </w:r>
      <w:r w:rsidRPr="002A5F53">
        <w:rPr>
          <w:color w:val="00B0F0"/>
          <w:lang w:val="en-US"/>
        </w:rPr>
        <w:t>Swinyard &amp; Smith (2003)</w:t>
      </w:r>
      <w:r>
        <w:rPr>
          <w:color w:val="00B0F0"/>
          <w:lang w:val="en-US"/>
        </w:rPr>
        <w:t xml:space="preserve"> </w:t>
      </w:r>
      <w:r>
        <w:rPr>
          <w:lang w:val="en-US"/>
        </w:rPr>
        <w:t xml:space="preserve">mengungkapkan para pembeli </w:t>
      </w:r>
      <w:r w:rsidR="00AB27AB">
        <w:rPr>
          <w:lang w:val="en-US"/>
        </w:rPr>
        <w:t xml:space="preserve">dan pengguna transaksi </w:t>
      </w:r>
      <w:r>
        <w:rPr>
          <w:lang w:val="en-US"/>
        </w:rPr>
        <w:t xml:space="preserve">online adalah para anak muda, kaya, berpendidikan, melek internet dan menghabiskan banyak waktunya di computer dan internet. </w:t>
      </w:r>
      <w:r w:rsidR="00FB5484">
        <w:rPr>
          <w:lang w:val="en-US"/>
        </w:rPr>
        <w:t xml:space="preserve">Dalam beberapa studi sebelumnya menjelaskan </w:t>
      </w:r>
      <w:r w:rsidR="00BD081E">
        <w:rPr>
          <w:lang w:val="en-US"/>
        </w:rPr>
        <w:t xml:space="preserve">banyak </w:t>
      </w:r>
      <w:r w:rsidR="00FB5484">
        <w:rPr>
          <w:lang w:val="en-US"/>
        </w:rPr>
        <w:t xml:space="preserve">hal positif yang disukai oleh </w:t>
      </w:r>
      <w:r>
        <w:rPr>
          <w:lang w:val="en-US"/>
        </w:rPr>
        <w:t xml:space="preserve">konsumen </w:t>
      </w:r>
      <w:r w:rsidR="00FB5484">
        <w:rPr>
          <w:lang w:val="en-US"/>
        </w:rPr>
        <w:t xml:space="preserve">online </w:t>
      </w:r>
      <w:r w:rsidR="00BD081E">
        <w:rPr>
          <w:lang w:val="en-US"/>
        </w:rPr>
        <w:t xml:space="preserve">terhadap </w:t>
      </w:r>
      <w:r w:rsidR="00FB5484">
        <w:rPr>
          <w:lang w:val="en-US"/>
        </w:rPr>
        <w:t xml:space="preserve">transaksi online, seperti: </w:t>
      </w:r>
      <w:r w:rsidR="00BD081E">
        <w:rPr>
          <w:lang w:val="en-US"/>
        </w:rPr>
        <w:t>kemudahan (</w:t>
      </w:r>
      <w:r w:rsidR="00B92FBF" w:rsidRPr="00B92FBF">
        <w:rPr>
          <w:color w:val="00B0F0"/>
          <w:lang w:val="en-US"/>
        </w:rPr>
        <w:t>Shen, dkk. 2020</w:t>
      </w:r>
      <w:r w:rsidR="00BD081E">
        <w:rPr>
          <w:lang w:val="en-US"/>
        </w:rPr>
        <w:t xml:space="preserve">), </w:t>
      </w:r>
      <w:r w:rsidR="00797FE6">
        <w:rPr>
          <w:lang w:val="en-US"/>
        </w:rPr>
        <w:t>fleksib</w:t>
      </w:r>
      <w:r w:rsidR="00C735CD">
        <w:rPr>
          <w:lang w:val="en-US"/>
        </w:rPr>
        <w:t>ilitas</w:t>
      </w:r>
      <w:r w:rsidR="00797FE6">
        <w:rPr>
          <w:lang w:val="en-US"/>
        </w:rPr>
        <w:t xml:space="preserve"> (</w:t>
      </w:r>
      <w:r w:rsidR="00D50E18" w:rsidRPr="00D50E18">
        <w:rPr>
          <w:color w:val="00B0F0"/>
          <w:lang w:val="en-US"/>
        </w:rPr>
        <w:t>Gro</w:t>
      </w:r>
      <w:r w:rsidR="00621E04">
        <w:rPr>
          <w:color w:val="00B0F0"/>
          <w:lang w:val="en-US"/>
        </w:rPr>
        <w:t>b</w:t>
      </w:r>
      <w:r w:rsidR="00D50E18" w:rsidRPr="00D50E18">
        <w:rPr>
          <w:color w:val="00B0F0"/>
          <w:lang w:val="en-US"/>
        </w:rPr>
        <w:t xml:space="preserve"> &amp; Sohn, 2021</w:t>
      </w:r>
      <w:r w:rsidR="00797FE6">
        <w:rPr>
          <w:lang w:val="en-US"/>
        </w:rPr>
        <w:t>),</w:t>
      </w:r>
      <w:r w:rsidR="00DA1985">
        <w:rPr>
          <w:lang w:val="en-US"/>
        </w:rPr>
        <w:t xml:space="preserve"> </w:t>
      </w:r>
      <w:r>
        <w:rPr>
          <w:lang w:val="en-US"/>
        </w:rPr>
        <w:t xml:space="preserve">dan </w:t>
      </w:r>
      <w:r w:rsidR="00DA1985">
        <w:rPr>
          <w:lang w:val="en-US"/>
        </w:rPr>
        <w:t>intensitas waktu (</w:t>
      </w:r>
      <w:r w:rsidR="00BD0F89" w:rsidRPr="00BD0F89">
        <w:rPr>
          <w:color w:val="00B0F0"/>
          <w:lang w:val="en-US"/>
        </w:rPr>
        <w:t>Song, dkk. 2020</w:t>
      </w:r>
      <w:r w:rsidR="00DA1985">
        <w:rPr>
          <w:lang w:val="en-US"/>
        </w:rPr>
        <w:t>)</w:t>
      </w:r>
      <w:r w:rsidR="00B809FC">
        <w:rPr>
          <w:lang w:val="en-US"/>
        </w:rPr>
        <w:t xml:space="preserve">. Dan </w:t>
      </w:r>
      <w:r>
        <w:rPr>
          <w:lang w:val="en-US"/>
        </w:rPr>
        <w:t xml:space="preserve">konsumen </w:t>
      </w:r>
      <w:r w:rsidR="00B809FC">
        <w:rPr>
          <w:lang w:val="en-US"/>
        </w:rPr>
        <w:t>belanja online mengalami peningkatan signifikan akibat pembatasan mobilitas manusi</w:t>
      </w:r>
      <w:r w:rsidR="00BF45F6">
        <w:rPr>
          <w:lang w:val="en-US"/>
        </w:rPr>
        <w:t>a</w:t>
      </w:r>
      <w:r w:rsidR="00B809FC">
        <w:rPr>
          <w:lang w:val="en-US"/>
        </w:rPr>
        <w:t xml:space="preserve"> dan pandemic COVID 19 (</w:t>
      </w:r>
      <w:r w:rsidR="005C2FEE" w:rsidRPr="005C2FEE">
        <w:rPr>
          <w:color w:val="00B0F0"/>
          <w:lang w:val="en-US"/>
        </w:rPr>
        <w:t>Jensen, dkk. 2020;</w:t>
      </w:r>
      <w:r w:rsidR="005C2FEE">
        <w:rPr>
          <w:lang w:val="en-US"/>
        </w:rPr>
        <w:t xml:space="preserve"> </w:t>
      </w:r>
      <w:r w:rsidR="00420ED2" w:rsidRPr="00420ED2">
        <w:rPr>
          <w:color w:val="00B0F0"/>
          <w:lang w:val="en-US"/>
        </w:rPr>
        <w:t>Bhatti, dkk. 2020;</w:t>
      </w:r>
      <w:r w:rsidR="00420ED2">
        <w:rPr>
          <w:lang w:val="en-US"/>
        </w:rPr>
        <w:t xml:space="preserve"> </w:t>
      </w:r>
      <w:r w:rsidR="00134C2E" w:rsidRPr="009623FD">
        <w:rPr>
          <w:color w:val="00B0F0"/>
          <w:lang w:val="en-US"/>
        </w:rPr>
        <w:t>Kim, 2020</w:t>
      </w:r>
      <w:r w:rsidR="00B809FC">
        <w:rPr>
          <w:lang w:val="en-US"/>
        </w:rPr>
        <w:t>)</w:t>
      </w:r>
      <w:r w:rsidR="008D27DE">
        <w:rPr>
          <w:lang w:val="en-US"/>
        </w:rPr>
        <w:t xml:space="preserve">. </w:t>
      </w:r>
      <w:r w:rsidR="009D57D0">
        <w:rPr>
          <w:lang w:val="en-US"/>
        </w:rPr>
        <w:t xml:space="preserve">Meskipun beberapa literatur lain telah menguji hubungan </w:t>
      </w:r>
      <w:r w:rsidR="0031093F">
        <w:rPr>
          <w:lang w:val="en-US"/>
        </w:rPr>
        <w:t xml:space="preserve">perilaku belanja </w:t>
      </w:r>
      <w:r w:rsidR="009D57D0">
        <w:rPr>
          <w:lang w:val="en-US"/>
        </w:rPr>
        <w:t xml:space="preserve">dan transaksi online, misalnya: </w:t>
      </w:r>
      <w:r w:rsidR="0031093F">
        <w:rPr>
          <w:lang w:val="en-US"/>
        </w:rPr>
        <w:t>biaya transaksi (</w:t>
      </w:r>
      <w:r w:rsidR="00AA54F9" w:rsidRPr="00AA54F9">
        <w:rPr>
          <w:color w:val="00B0F0"/>
          <w:lang w:val="en-US"/>
        </w:rPr>
        <w:t>Teo, dkk. 2004</w:t>
      </w:r>
      <w:r w:rsidR="00AA54F9">
        <w:rPr>
          <w:lang w:val="en-US"/>
        </w:rPr>
        <w:t>)</w:t>
      </w:r>
      <w:r w:rsidR="00BF45F6">
        <w:rPr>
          <w:lang w:val="en-US"/>
        </w:rPr>
        <w:t>, kepercayaan (</w:t>
      </w:r>
      <w:r w:rsidR="00BF45F6" w:rsidRPr="00BF45F6">
        <w:rPr>
          <w:color w:val="00B0F0"/>
          <w:lang w:val="en-US"/>
        </w:rPr>
        <w:t>Chen &amp; Barnes, 2007</w:t>
      </w:r>
      <w:r w:rsidR="00BF45F6">
        <w:rPr>
          <w:lang w:val="en-US"/>
        </w:rPr>
        <w:t>)</w:t>
      </w:r>
      <w:r w:rsidR="004A20A4">
        <w:rPr>
          <w:lang w:val="en-US"/>
        </w:rPr>
        <w:t>, d</w:t>
      </w:r>
      <w:r w:rsidR="00D125B2">
        <w:rPr>
          <w:lang w:val="en-US"/>
        </w:rPr>
        <w:t xml:space="preserve">an </w:t>
      </w:r>
      <w:r w:rsidR="001F4336">
        <w:rPr>
          <w:lang w:val="en-US"/>
        </w:rPr>
        <w:t>fungsi dan karakteristik (</w:t>
      </w:r>
      <w:r w:rsidR="001F4336" w:rsidRPr="001F4336">
        <w:rPr>
          <w:color w:val="00B0F0"/>
          <w:lang w:val="en-US"/>
        </w:rPr>
        <w:t>Mallapragada, dkk. 2016</w:t>
      </w:r>
      <w:r w:rsidR="001F4336">
        <w:rPr>
          <w:lang w:val="en-US"/>
        </w:rPr>
        <w:t xml:space="preserve">). </w:t>
      </w:r>
      <w:r>
        <w:rPr>
          <w:lang w:val="en-US"/>
        </w:rPr>
        <w:t xml:space="preserve">Namun, </w:t>
      </w:r>
      <w:r w:rsidR="00B91250" w:rsidRPr="008F355A">
        <w:rPr>
          <w:color w:val="00B0F0"/>
          <w:lang w:val="en-US"/>
        </w:rPr>
        <w:t>Babar dkk (2014)</w:t>
      </w:r>
      <w:r w:rsidR="00B91250">
        <w:rPr>
          <w:lang w:val="en-US"/>
        </w:rPr>
        <w:t xml:space="preserve"> menjelaskan bahwa </w:t>
      </w:r>
      <w:r w:rsidR="00B91250" w:rsidRPr="008F355A">
        <w:rPr>
          <w:lang w:val="en-US"/>
        </w:rPr>
        <w:t xml:space="preserve">belanja online hanya akan diterima sebagai </w:t>
      </w:r>
      <w:r w:rsidR="00187EE0">
        <w:rPr>
          <w:lang w:val="en-US"/>
        </w:rPr>
        <w:t xml:space="preserve">perilaku </w:t>
      </w:r>
      <w:r w:rsidR="00B91250" w:rsidRPr="008F355A">
        <w:rPr>
          <w:lang w:val="en-US"/>
        </w:rPr>
        <w:t xml:space="preserve">tren ketika ikatan kepercayaan ditekankan oleh </w:t>
      </w:r>
      <w:r w:rsidR="00B91250">
        <w:rPr>
          <w:lang w:val="en-US"/>
        </w:rPr>
        <w:t>penjual dan ikatan ini semakin kuat disertai dengan informasi yang akurat (</w:t>
      </w:r>
      <w:r w:rsidR="00B91250" w:rsidRPr="000C7BE7">
        <w:rPr>
          <w:color w:val="00B0F0"/>
          <w:lang w:val="en-US"/>
        </w:rPr>
        <w:t>Marriott, dkk. 2017</w:t>
      </w:r>
      <w:r w:rsidR="00B91250">
        <w:rPr>
          <w:lang w:val="en-US"/>
        </w:rPr>
        <w:t>), mudah dan aman (</w:t>
      </w:r>
      <w:r w:rsidR="00B91250" w:rsidRPr="00000479">
        <w:rPr>
          <w:color w:val="00B0F0"/>
          <w:lang w:val="en-US"/>
        </w:rPr>
        <w:t>Chawla &amp; Kumar, 2021</w:t>
      </w:r>
      <w:r w:rsidR="00B91250">
        <w:rPr>
          <w:lang w:val="en-US"/>
        </w:rPr>
        <w:t xml:space="preserve">), dan </w:t>
      </w:r>
      <w:r w:rsidR="00187EE0">
        <w:rPr>
          <w:lang w:val="en-US"/>
        </w:rPr>
        <w:t xml:space="preserve">penawaran </w:t>
      </w:r>
      <w:r w:rsidR="00B91250">
        <w:rPr>
          <w:lang w:val="en-US"/>
        </w:rPr>
        <w:t>trend fashion terkini (</w:t>
      </w:r>
      <w:r w:rsidR="00B91250" w:rsidRPr="00B809FC">
        <w:rPr>
          <w:color w:val="00B0F0"/>
          <w:lang w:val="en-US"/>
        </w:rPr>
        <w:t>Ladhari, dkk. 2019</w:t>
      </w:r>
      <w:r w:rsidR="00B91250">
        <w:rPr>
          <w:lang w:val="en-US"/>
        </w:rPr>
        <w:t xml:space="preserve">). </w:t>
      </w:r>
      <w:r w:rsidR="00EC23BC">
        <w:rPr>
          <w:lang w:val="en-US"/>
        </w:rPr>
        <w:t xml:space="preserve">Sehingga kami berspekulasi bahwasanya </w:t>
      </w:r>
      <w:r w:rsidR="003719EF">
        <w:rPr>
          <w:lang w:val="en-US"/>
        </w:rPr>
        <w:t xml:space="preserve">perilaku trend </w:t>
      </w:r>
      <w:r w:rsidR="00EC23BC">
        <w:rPr>
          <w:lang w:val="en-US"/>
        </w:rPr>
        <w:t xml:space="preserve">berpengaruh </w:t>
      </w:r>
      <w:r w:rsidR="003719EF">
        <w:rPr>
          <w:lang w:val="en-US"/>
        </w:rPr>
        <w:t>terhadap transaksi online</w:t>
      </w:r>
      <w:r w:rsidR="00945FAD">
        <w:rPr>
          <w:lang w:val="en-US"/>
        </w:rPr>
        <w:t xml:space="preserve"> dan </w:t>
      </w:r>
      <w:r w:rsidR="003719EF">
        <w:rPr>
          <w:lang w:val="en-US"/>
        </w:rPr>
        <w:t>penelitian ini berpendapat:</w:t>
      </w:r>
    </w:p>
    <w:p w14:paraId="4CD2FEB2" w14:textId="6ED3ED30" w:rsidR="003719EF" w:rsidRDefault="003719EF" w:rsidP="000D4C4F">
      <w:pPr>
        <w:rPr>
          <w:lang w:val="en-US"/>
        </w:rPr>
      </w:pPr>
      <w:r w:rsidRPr="003719EF">
        <w:rPr>
          <w:b/>
          <w:bCs/>
          <w:lang w:val="en-US"/>
        </w:rPr>
        <w:t>H1</w:t>
      </w:r>
      <w:r>
        <w:rPr>
          <w:lang w:val="en-US"/>
        </w:rPr>
        <w:t xml:space="preserve">: </w:t>
      </w:r>
      <w:r>
        <w:t xml:space="preserve">Tren belanja online berhubungan positif </w:t>
      </w:r>
      <w:r w:rsidR="00322B08">
        <w:rPr>
          <w:lang w:val="en-US"/>
        </w:rPr>
        <w:t xml:space="preserve">terhadap </w:t>
      </w:r>
      <w:r>
        <w:t>transaksi online</w:t>
      </w:r>
    </w:p>
    <w:p w14:paraId="44780837" w14:textId="29A1310D" w:rsidR="000D4C4F" w:rsidRDefault="001C32A8" w:rsidP="00AB7940">
      <w:pPr>
        <w:pStyle w:val="Heading2"/>
        <w:rPr>
          <w:lang w:val="en-US"/>
        </w:rPr>
      </w:pPr>
      <w:r>
        <w:rPr>
          <w:lang w:val="en-US"/>
        </w:rPr>
        <w:t>2.2. Gaya hidup dan Transaksi Onlin</w:t>
      </w:r>
      <w:r w:rsidR="00AB7940">
        <w:rPr>
          <w:lang w:val="en-US"/>
        </w:rPr>
        <w:t>e</w:t>
      </w:r>
    </w:p>
    <w:p w14:paraId="2A81523C" w14:textId="47ECB595" w:rsidR="001F4336" w:rsidRDefault="00EC23BC" w:rsidP="00EC23BC">
      <w:pPr>
        <w:rPr>
          <w:lang w:val="en-US"/>
        </w:rPr>
      </w:pPr>
      <w:r w:rsidRPr="00EC23BC">
        <w:rPr>
          <w:lang w:val="en-US"/>
        </w:rPr>
        <w:t>Blackwell dkk</w:t>
      </w:r>
      <w:r>
        <w:rPr>
          <w:lang w:val="en-US"/>
        </w:rPr>
        <w:t xml:space="preserve"> (dalam </w:t>
      </w:r>
      <w:r w:rsidRPr="00506915">
        <w:rPr>
          <w:color w:val="00B0F0"/>
          <w:lang w:val="en-US"/>
        </w:rPr>
        <w:t>Ji &amp; Lee, 2004</w:t>
      </w:r>
      <w:r>
        <w:rPr>
          <w:lang w:val="en-US"/>
        </w:rPr>
        <w:t>)</w:t>
      </w:r>
      <w:r w:rsidRPr="00EC23BC">
        <w:rPr>
          <w:lang w:val="en-US"/>
        </w:rPr>
        <w:t>.menunjukkan bahwa</w:t>
      </w:r>
      <w:r>
        <w:rPr>
          <w:lang w:val="en-US"/>
        </w:rPr>
        <w:t xml:space="preserve"> g</w:t>
      </w:r>
      <w:r w:rsidRPr="00EC23BC">
        <w:rPr>
          <w:lang w:val="en-US"/>
        </w:rPr>
        <w:t>aya hidup konsumen mencerminkan kegiatan sehari-hari, minat,</w:t>
      </w:r>
      <w:r>
        <w:rPr>
          <w:lang w:val="en-US"/>
        </w:rPr>
        <w:t xml:space="preserve"> </w:t>
      </w:r>
      <w:r w:rsidRPr="00EC23BC">
        <w:rPr>
          <w:lang w:val="en-US"/>
        </w:rPr>
        <w:t>pendapat, dan secara signifikan terkait dengan demografi</w:t>
      </w:r>
      <w:r>
        <w:rPr>
          <w:lang w:val="en-US"/>
        </w:rPr>
        <w:t xml:space="preserve"> </w:t>
      </w:r>
      <w:r w:rsidRPr="00EC23BC">
        <w:rPr>
          <w:lang w:val="en-US"/>
        </w:rPr>
        <w:t>karakteristik</w:t>
      </w:r>
      <w:r>
        <w:rPr>
          <w:lang w:val="en-US"/>
        </w:rPr>
        <w:t xml:space="preserve">nya. </w:t>
      </w:r>
      <w:r w:rsidR="00B82120" w:rsidRPr="00AE0971">
        <w:rPr>
          <w:color w:val="00B0F0"/>
          <w:lang w:val="en-US"/>
        </w:rPr>
        <w:t>Chanaron (2013)</w:t>
      </w:r>
      <w:r w:rsidR="00B82120" w:rsidRPr="00B82120">
        <w:rPr>
          <w:lang w:val="en-US"/>
        </w:rPr>
        <w:t xml:space="preserve"> menggambarkan e-lifestyle sebagai salah satu dari tiga jenis gaya hidup inovatif yang muncul karena inovasi teknologi dan organisasi</w:t>
      </w:r>
      <w:r w:rsidR="00B82120">
        <w:rPr>
          <w:lang w:val="en-US"/>
        </w:rPr>
        <w:t xml:space="preserve">. </w:t>
      </w:r>
      <w:r>
        <w:rPr>
          <w:lang w:val="en-US"/>
        </w:rPr>
        <w:t xml:space="preserve">Lebih lanjut, </w:t>
      </w:r>
      <w:r w:rsidR="00B82120" w:rsidRPr="001E0F89">
        <w:rPr>
          <w:color w:val="00B0F0"/>
          <w:lang w:val="en-US"/>
        </w:rPr>
        <w:t>Swinyard &amp; Smith (2003)</w:t>
      </w:r>
      <w:r w:rsidR="00B82120">
        <w:rPr>
          <w:lang w:val="en-US"/>
        </w:rPr>
        <w:t xml:space="preserve"> </w:t>
      </w:r>
      <w:r>
        <w:rPr>
          <w:lang w:val="en-US"/>
        </w:rPr>
        <w:t xml:space="preserve">menjelaskan bahwa </w:t>
      </w:r>
      <w:r w:rsidR="00B82120">
        <w:rPr>
          <w:lang w:val="en-US"/>
        </w:rPr>
        <w:t xml:space="preserve">pergeseran instrumen kehidupan antara dahulu dan saat </w:t>
      </w:r>
      <w:r w:rsidR="00CB69D4">
        <w:rPr>
          <w:lang w:val="en-US"/>
        </w:rPr>
        <w:t xml:space="preserve">ini </w:t>
      </w:r>
      <w:r w:rsidR="00337CB9">
        <w:rPr>
          <w:lang w:val="en-US"/>
        </w:rPr>
        <w:t xml:space="preserve">berpengaruh pada </w:t>
      </w:r>
      <w:r w:rsidR="00B82120">
        <w:rPr>
          <w:lang w:val="en-US"/>
        </w:rPr>
        <w:t xml:space="preserve">gaya hidup </w:t>
      </w:r>
      <w:r w:rsidR="00337CB9">
        <w:rPr>
          <w:lang w:val="en-US"/>
        </w:rPr>
        <w:t>seseorang</w:t>
      </w:r>
      <w:r w:rsidR="00B82120">
        <w:rPr>
          <w:lang w:val="en-US"/>
        </w:rPr>
        <w:t>.</w:t>
      </w:r>
      <w:r w:rsidR="00107A6D">
        <w:rPr>
          <w:lang w:val="en-US"/>
        </w:rPr>
        <w:t xml:space="preserve"> Dalam beberapa tahun terakhir perubahan gaya hidup akibat </w:t>
      </w:r>
      <w:r w:rsidR="005A6120">
        <w:rPr>
          <w:lang w:val="en-US"/>
        </w:rPr>
        <w:t xml:space="preserve">motivasi ekonomi pada platform online rerus berkembang </w:t>
      </w:r>
      <w:r w:rsidR="00107A6D">
        <w:rPr>
          <w:lang w:val="en-US"/>
        </w:rPr>
        <w:t>(</w:t>
      </w:r>
      <w:r w:rsidR="002C497E" w:rsidRPr="002C497E">
        <w:rPr>
          <w:color w:val="00B0F0"/>
          <w:lang w:val="en-US"/>
        </w:rPr>
        <w:t xml:space="preserve">Blitstein, dkk. 2020; </w:t>
      </w:r>
      <w:r w:rsidR="00C21ACA" w:rsidRPr="00C21ACA">
        <w:rPr>
          <w:color w:val="00B0F0"/>
          <w:lang w:val="en-US"/>
        </w:rPr>
        <w:t>Padmavathy</w:t>
      </w:r>
      <w:r w:rsidR="005A6120" w:rsidRPr="005A6120">
        <w:rPr>
          <w:color w:val="00B0F0"/>
          <w:lang w:val="en-US"/>
        </w:rPr>
        <w:t>, dkk. 2019</w:t>
      </w:r>
      <w:r w:rsidR="00107A6D">
        <w:rPr>
          <w:lang w:val="en-US"/>
        </w:rPr>
        <w:t xml:space="preserve">), </w:t>
      </w:r>
      <w:r w:rsidR="000A3500">
        <w:rPr>
          <w:lang w:val="en-US"/>
        </w:rPr>
        <w:t xml:space="preserve">Meskipun temuan lain telah </w:t>
      </w:r>
      <w:r w:rsidR="000A3500">
        <w:rPr>
          <w:lang w:val="en-US"/>
        </w:rPr>
        <w:lastRenderedPageBreak/>
        <w:t>menjelaskan pengaruh gaya hidup pada transaksi online (</w:t>
      </w:r>
      <w:r w:rsidR="00AE3B92" w:rsidRPr="00FA5CBA">
        <w:rPr>
          <w:color w:val="00B0F0"/>
          <w:lang w:val="en-US"/>
        </w:rPr>
        <w:t xml:space="preserve">Yang, dkk. 2021; </w:t>
      </w:r>
      <w:r w:rsidR="00CB69D4" w:rsidRPr="00CB69D4">
        <w:rPr>
          <w:color w:val="00B0F0"/>
          <w:lang w:val="en-US"/>
        </w:rPr>
        <w:t>Ahmad, dkk. 2010</w:t>
      </w:r>
      <w:r w:rsidR="000A3500">
        <w:rPr>
          <w:lang w:val="en-US"/>
        </w:rPr>
        <w:t xml:space="preserve">), namun seperti penjelasan Blackwell bahwasanya </w:t>
      </w:r>
      <w:r w:rsidR="00F230FD">
        <w:rPr>
          <w:lang w:val="en-US"/>
        </w:rPr>
        <w:t xml:space="preserve">perbedaan </w:t>
      </w:r>
      <w:r w:rsidR="00FA16BC">
        <w:rPr>
          <w:lang w:val="en-US"/>
        </w:rPr>
        <w:t>penggunaan platform</w:t>
      </w:r>
      <w:r w:rsidR="00026D86">
        <w:rPr>
          <w:lang w:val="en-US"/>
        </w:rPr>
        <w:t xml:space="preserve">, </w:t>
      </w:r>
      <w:r w:rsidR="00FA16BC">
        <w:rPr>
          <w:lang w:val="en-US"/>
        </w:rPr>
        <w:t>teknolo</w:t>
      </w:r>
      <w:r w:rsidR="00FA5CBA">
        <w:rPr>
          <w:lang w:val="en-US"/>
        </w:rPr>
        <w:t>g</w:t>
      </w:r>
      <w:r w:rsidR="00FA16BC">
        <w:rPr>
          <w:lang w:val="en-US"/>
        </w:rPr>
        <w:t xml:space="preserve">i dan </w:t>
      </w:r>
      <w:r w:rsidR="00026D86">
        <w:rPr>
          <w:lang w:val="en-US"/>
        </w:rPr>
        <w:t>jangkauan mempunyai nilai yang berbeda</w:t>
      </w:r>
      <w:r w:rsidR="00FA5CBA">
        <w:rPr>
          <w:lang w:val="en-US"/>
        </w:rPr>
        <w:t xml:space="preserve"> pada gaya hidup seseorang</w:t>
      </w:r>
      <w:r w:rsidR="00026D86">
        <w:rPr>
          <w:lang w:val="en-US"/>
        </w:rPr>
        <w:t xml:space="preserve">, selain itu </w:t>
      </w:r>
      <w:r w:rsidR="00FA5CBA">
        <w:rPr>
          <w:lang w:val="en-US"/>
        </w:rPr>
        <w:t xml:space="preserve">inovasi </w:t>
      </w:r>
      <w:r w:rsidR="00945FAD">
        <w:rPr>
          <w:lang w:val="en-US"/>
        </w:rPr>
        <w:t xml:space="preserve">teknologi </w:t>
      </w:r>
      <w:r w:rsidR="00F61A03">
        <w:rPr>
          <w:lang w:val="en-US"/>
        </w:rPr>
        <w:t>online terus berkembang dan selaras dengan perubahan perilaku konsumen dan pasar (</w:t>
      </w:r>
      <w:r w:rsidR="00B92175" w:rsidRPr="00B92175">
        <w:rPr>
          <w:color w:val="00B0F0"/>
          <w:lang w:val="en-US"/>
        </w:rPr>
        <w:t>Sundbo, 1998</w:t>
      </w:r>
      <w:r w:rsidR="00F61A03">
        <w:rPr>
          <w:lang w:val="en-US"/>
        </w:rPr>
        <w:t>), sehingga penelitian ini berspekulasi bahwa:</w:t>
      </w:r>
    </w:p>
    <w:p w14:paraId="2FAB9D61" w14:textId="6CCC4A47" w:rsidR="00F61A03" w:rsidRPr="001F4336" w:rsidRDefault="00A44A15" w:rsidP="00EC23BC">
      <w:pPr>
        <w:rPr>
          <w:lang w:val="en-US"/>
        </w:rPr>
      </w:pPr>
      <w:r w:rsidRPr="00A44A15">
        <w:rPr>
          <w:b/>
          <w:bCs/>
          <w:lang w:val="en-US"/>
        </w:rPr>
        <w:t>H2</w:t>
      </w:r>
      <w:r>
        <w:rPr>
          <w:lang w:val="en-US"/>
        </w:rPr>
        <w:t xml:space="preserve">: </w:t>
      </w:r>
      <w:r>
        <w:t>Gaya hidup mempengaruhi secara positif terhadap transaksi online</w:t>
      </w:r>
    </w:p>
    <w:p w14:paraId="7A6DFAA3" w14:textId="676118F0" w:rsidR="001C32A8" w:rsidRDefault="001C32A8" w:rsidP="00AB7940">
      <w:pPr>
        <w:pStyle w:val="Heading2"/>
        <w:rPr>
          <w:lang w:val="en-US"/>
        </w:rPr>
      </w:pPr>
      <w:r>
        <w:rPr>
          <w:lang w:val="en-US"/>
        </w:rPr>
        <w:t>2.3. Pengaruh Price Dispersion Terhadap Transaksi Online</w:t>
      </w:r>
    </w:p>
    <w:p w14:paraId="1306A940" w14:textId="2962E39A" w:rsidR="003B37E7" w:rsidRDefault="008636C8" w:rsidP="003B37E7">
      <w:pPr>
        <w:rPr>
          <w:lang w:val="en-US"/>
        </w:rPr>
      </w:pPr>
      <w:r>
        <w:rPr>
          <w:lang w:val="en-US"/>
        </w:rPr>
        <w:t xml:space="preserve">Disperse harga adalah wawasan </w:t>
      </w:r>
      <w:r w:rsidRPr="008636C8">
        <w:rPr>
          <w:lang w:val="en-US"/>
        </w:rPr>
        <w:t>tentang kondisi pasar yang menghasilkan strategi diskriminasi harga yang potensial</w:t>
      </w:r>
      <w:r>
        <w:rPr>
          <w:lang w:val="en-US"/>
        </w:rPr>
        <w:t xml:space="preserve"> (</w:t>
      </w:r>
      <w:r w:rsidRPr="0049123A">
        <w:rPr>
          <w:color w:val="00B0F0"/>
          <w:lang w:val="en-US"/>
        </w:rPr>
        <w:t>Ba, dkk. 2012</w:t>
      </w:r>
      <w:r>
        <w:rPr>
          <w:lang w:val="en-US"/>
        </w:rPr>
        <w:t>)</w:t>
      </w:r>
      <w:r w:rsidR="0054682E">
        <w:rPr>
          <w:lang w:val="en-US"/>
        </w:rPr>
        <w:t>.</w:t>
      </w:r>
      <w:r>
        <w:rPr>
          <w:lang w:val="en-US"/>
        </w:rPr>
        <w:t xml:space="preserve"> </w:t>
      </w:r>
      <w:r w:rsidR="0054682E">
        <w:rPr>
          <w:lang w:val="en-US"/>
        </w:rPr>
        <w:t>Terdapat d</w:t>
      </w:r>
      <w:r w:rsidR="0054682E" w:rsidRPr="0054682E">
        <w:rPr>
          <w:lang w:val="en-US"/>
        </w:rPr>
        <w:t>ua perspektif berbeda</w:t>
      </w:r>
      <w:r w:rsidR="0054682E">
        <w:rPr>
          <w:lang w:val="en-US"/>
        </w:rPr>
        <w:t xml:space="preserve"> tentang dipersi harga ini, yaitu: </w:t>
      </w:r>
      <w:r w:rsidR="0054682E" w:rsidRPr="0054682E">
        <w:rPr>
          <w:lang w:val="en-US"/>
        </w:rPr>
        <w:t xml:space="preserve">perspektif penawaran dan permintaan </w:t>
      </w:r>
      <w:r w:rsidR="005B2AF0">
        <w:rPr>
          <w:lang w:val="en-US"/>
        </w:rPr>
        <w:t>(</w:t>
      </w:r>
      <w:r w:rsidR="005B2AF0" w:rsidRPr="0049123A">
        <w:rPr>
          <w:color w:val="00B0F0"/>
          <w:lang w:val="en-US"/>
        </w:rPr>
        <w:t>Granados, dkk. 2012</w:t>
      </w:r>
      <w:r w:rsidR="005B2AF0">
        <w:rPr>
          <w:lang w:val="en-US"/>
        </w:rPr>
        <w:t>)</w:t>
      </w:r>
      <w:r w:rsidR="0054682E" w:rsidRPr="0054682E">
        <w:rPr>
          <w:lang w:val="en-US"/>
        </w:rPr>
        <w:t xml:space="preserve">. </w:t>
      </w:r>
      <w:r w:rsidR="006370F2">
        <w:rPr>
          <w:lang w:val="en-US"/>
        </w:rPr>
        <w:t xml:space="preserve">Penawaran </w:t>
      </w:r>
      <w:r w:rsidR="007D2496">
        <w:rPr>
          <w:lang w:val="en-US"/>
        </w:rPr>
        <w:t xml:space="preserve">berkaitan dengan postingan harga </w:t>
      </w:r>
      <w:r w:rsidR="0054682E" w:rsidRPr="0054682E">
        <w:rPr>
          <w:lang w:val="en-US"/>
        </w:rPr>
        <w:t xml:space="preserve">dan </w:t>
      </w:r>
      <w:r w:rsidR="006370F2">
        <w:rPr>
          <w:lang w:val="en-US"/>
        </w:rPr>
        <w:t xml:space="preserve">pemintaan </w:t>
      </w:r>
      <w:r w:rsidR="007D2496">
        <w:rPr>
          <w:lang w:val="en-US"/>
        </w:rPr>
        <w:t xml:space="preserve">terkait dengan </w:t>
      </w:r>
      <w:r w:rsidR="0054682E" w:rsidRPr="0054682E">
        <w:rPr>
          <w:lang w:val="en-US"/>
        </w:rPr>
        <w:t xml:space="preserve">harga yang dibayar konsumen </w:t>
      </w:r>
      <w:r w:rsidR="006370F2">
        <w:rPr>
          <w:lang w:val="en-US"/>
        </w:rPr>
        <w:t>(</w:t>
      </w:r>
      <w:r w:rsidR="00B71A2C" w:rsidRPr="00B71A2C">
        <w:rPr>
          <w:color w:val="00B0F0"/>
          <w:lang w:val="en-US"/>
        </w:rPr>
        <w:t>Baye, dkk. 2006</w:t>
      </w:r>
      <w:r w:rsidR="006370F2">
        <w:rPr>
          <w:lang w:val="en-US"/>
        </w:rPr>
        <w:t>)</w:t>
      </w:r>
      <w:r w:rsidR="007D2496">
        <w:rPr>
          <w:lang w:val="en-US"/>
        </w:rPr>
        <w:t>.</w:t>
      </w:r>
      <w:r w:rsidR="009D74D7">
        <w:rPr>
          <w:lang w:val="en-US"/>
        </w:rPr>
        <w:t xml:space="preserve"> Meskipun peneyelidikan tentang price dipersion dan transaksi online telah dikaji sebelumnya (</w:t>
      </w:r>
      <w:r w:rsidR="009D74D7" w:rsidRPr="00F5268B">
        <w:rPr>
          <w:color w:val="00B0F0"/>
          <w:lang w:val="en-US"/>
        </w:rPr>
        <w:t xml:space="preserve">Wang &amp; Li, 2020; </w:t>
      </w:r>
      <w:r w:rsidR="00F5268B" w:rsidRPr="00F5268B">
        <w:rPr>
          <w:color w:val="00B0F0"/>
          <w:lang w:val="en-US"/>
        </w:rPr>
        <w:t>Zhuang, dkk. 2018</w:t>
      </w:r>
      <w:r w:rsidR="00C663C8">
        <w:rPr>
          <w:color w:val="00B0F0"/>
          <w:lang w:val="en-US"/>
        </w:rPr>
        <w:t>; Ghose &amp; Yaou, 2011</w:t>
      </w:r>
      <w:r w:rsidR="00F5268B">
        <w:rPr>
          <w:lang w:val="en-US"/>
        </w:rPr>
        <w:t>)</w:t>
      </w:r>
      <w:r w:rsidR="00C663C8">
        <w:rPr>
          <w:lang w:val="en-US"/>
        </w:rPr>
        <w:t>, namun</w:t>
      </w:r>
      <w:r w:rsidR="00105331">
        <w:rPr>
          <w:lang w:val="en-US"/>
        </w:rPr>
        <w:t xml:space="preserve"> seperti </w:t>
      </w:r>
      <w:r w:rsidR="00A21B08">
        <w:rPr>
          <w:lang w:val="en-US"/>
        </w:rPr>
        <w:t xml:space="preserve">temuan </w:t>
      </w:r>
      <w:r w:rsidR="00105331" w:rsidRPr="00983981">
        <w:rPr>
          <w:color w:val="00B0F0"/>
          <w:lang w:val="en-US"/>
        </w:rPr>
        <w:t>Zhao, dkk (2015)</w:t>
      </w:r>
      <w:r w:rsidR="00105331">
        <w:rPr>
          <w:lang w:val="en-US"/>
        </w:rPr>
        <w:t xml:space="preserve"> bahwasanya </w:t>
      </w:r>
      <w:r w:rsidR="00105331" w:rsidRPr="00105331">
        <w:rPr>
          <w:lang w:val="en-US"/>
        </w:rPr>
        <w:t>perbedaan perspektif yang diambil pada harga online menghasilkan hasil yang berbeda untuk</w:t>
      </w:r>
      <w:r w:rsidR="008067CD">
        <w:rPr>
          <w:lang w:val="en-US"/>
        </w:rPr>
        <w:t xml:space="preserve"> setiap</w:t>
      </w:r>
      <w:r w:rsidR="00105331" w:rsidRPr="00105331">
        <w:rPr>
          <w:lang w:val="en-US"/>
        </w:rPr>
        <w:t xml:space="preserve"> dispersinya</w:t>
      </w:r>
      <w:r w:rsidR="00105331">
        <w:rPr>
          <w:lang w:val="en-US"/>
        </w:rPr>
        <w:t xml:space="preserve"> dan kami menguji pada perspektif penawaran </w:t>
      </w:r>
      <w:r w:rsidR="00241C7B">
        <w:rPr>
          <w:lang w:val="en-US"/>
        </w:rPr>
        <w:t xml:space="preserve">oleh </w:t>
      </w:r>
      <w:r w:rsidR="00105331">
        <w:rPr>
          <w:lang w:val="en-US"/>
        </w:rPr>
        <w:t>pla</w:t>
      </w:r>
      <w:r w:rsidR="00A21B08">
        <w:rPr>
          <w:lang w:val="en-US"/>
        </w:rPr>
        <w:t>t</w:t>
      </w:r>
      <w:r w:rsidR="00105331">
        <w:rPr>
          <w:lang w:val="en-US"/>
        </w:rPr>
        <w:t>for</w:t>
      </w:r>
      <w:r w:rsidR="00A21B08">
        <w:rPr>
          <w:lang w:val="en-US"/>
        </w:rPr>
        <w:t>m</w:t>
      </w:r>
      <w:r w:rsidR="00105331">
        <w:rPr>
          <w:lang w:val="en-US"/>
        </w:rPr>
        <w:t xml:space="preserve"> transaksi online.</w:t>
      </w:r>
      <w:r w:rsidR="00A21B08">
        <w:rPr>
          <w:lang w:val="en-US"/>
        </w:rPr>
        <w:t xml:space="preserve"> </w:t>
      </w:r>
      <w:r w:rsidR="00241C7B">
        <w:rPr>
          <w:lang w:val="en-US"/>
        </w:rPr>
        <w:t xml:space="preserve">Kami juga berspekulasi bahwa </w:t>
      </w:r>
      <w:r w:rsidR="00C22A73">
        <w:rPr>
          <w:lang w:val="en-US"/>
        </w:rPr>
        <w:t xml:space="preserve">para penjual online sering melakukan perubahan harga secara acak dan </w:t>
      </w:r>
      <w:r w:rsidR="00C22A73" w:rsidRPr="00C22A73">
        <w:rPr>
          <w:lang w:val="en-US"/>
        </w:rPr>
        <w:t>menyulitkan konsumen untuk merespons dengan tepat</w:t>
      </w:r>
      <w:r w:rsidR="00C22A73">
        <w:rPr>
          <w:lang w:val="en-US"/>
        </w:rPr>
        <w:t xml:space="preserve"> (</w:t>
      </w:r>
      <w:r w:rsidR="00C22A73" w:rsidRPr="00816614">
        <w:rPr>
          <w:color w:val="00B0F0"/>
          <w:lang w:val="en-US"/>
        </w:rPr>
        <w:t>Oh &amp; Lucas, 2006</w:t>
      </w:r>
      <w:r w:rsidR="00C22A73">
        <w:rPr>
          <w:lang w:val="en-US"/>
        </w:rPr>
        <w:t>), sehingga penelitian ini berpendapat bahwa:</w:t>
      </w:r>
    </w:p>
    <w:p w14:paraId="51C257BF" w14:textId="1855546A" w:rsidR="00C22A73" w:rsidRPr="003B37E7" w:rsidRDefault="00816614" w:rsidP="003B37E7">
      <w:pPr>
        <w:rPr>
          <w:lang w:val="en-US"/>
        </w:rPr>
      </w:pPr>
      <w:r w:rsidRPr="00025D44">
        <w:rPr>
          <w:b/>
          <w:bCs/>
          <w:lang w:val="en-US"/>
        </w:rPr>
        <w:t>H3</w:t>
      </w:r>
      <w:r>
        <w:rPr>
          <w:lang w:val="en-US"/>
        </w:rPr>
        <w:t xml:space="preserve">: </w:t>
      </w:r>
      <w:r w:rsidR="005507FD" w:rsidRPr="005507FD">
        <w:rPr>
          <w:lang w:val="en-US"/>
        </w:rPr>
        <w:t>Dispersi harga yang dicantumkan oleh aplikasi berpengaruh positif terhadap keputusan transaksi online</w:t>
      </w:r>
      <w:r w:rsidR="005507FD">
        <w:rPr>
          <w:lang w:val="en-US"/>
        </w:rPr>
        <w:t>.</w:t>
      </w:r>
    </w:p>
    <w:p w14:paraId="4BDC50AC" w14:textId="0310F8F7" w:rsidR="00435A88" w:rsidRDefault="00435A88" w:rsidP="00E46125">
      <w:pPr>
        <w:pStyle w:val="Heading2"/>
        <w:rPr>
          <w:lang w:val="en-US"/>
        </w:rPr>
      </w:pPr>
      <w:r>
        <w:t>2.</w:t>
      </w:r>
      <w:r w:rsidR="001C32A8">
        <w:rPr>
          <w:lang w:val="en-US"/>
        </w:rPr>
        <w:t>4</w:t>
      </w:r>
      <w:r>
        <w:t xml:space="preserve">. </w:t>
      </w:r>
      <w:r w:rsidR="007A52FF">
        <w:rPr>
          <w:lang w:val="en-US"/>
        </w:rPr>
        <w:t xml:space="preserve">E-tax sebagai mediator dari perilaku individu dan </w:t>
      </w:r>
      <w:r w:rsidR="002A47F9">
        <w:rPr>
          <w:lang w:val="en-US"/>
        </w:rPr>
        <w:t>transaksi</w:t>
      </w:r>
      <w:r w:rsidR="007A52FF">
        <w:rPr>
          <w:lang w:val="en-US"/>
        </w:rPr>
        <w:t xml:space="preserve"> online</w:t>
      </w:r>
    </w:p>
    <w:p w14:paraId="28C66165" w14:textId="50E79F55" w:rsidR="003E3D9A" w:rsidRDefault="00513BA2" w:rsidP="00A64BAF">
      <w:pPr>
        <w:rPr>
          <w:lang w:val="en-US"/>
        </w:rPr>
      </w:pPr>
      <w:r>
        <w:rPr>
          <w:lang w:val="en-US"/>
        </w:rPr>
        <w:t>Ada tantangan serius yang saat ini dihadapi oleh negara Indonesia</w:t>
      </w:r>
      <w:r w:rsidR="00C85DE3">
        <w:rPr>
          <w:rStyle w:val="FootnoteReference"/>
          <w:lang w:val="en-US"/>
        </w:rPr>
        <w:footnoteReference w:id="3"/>
      </w:r>
      <w:r>
        <w:rPr>
          <w:lang w:val="en-US"/>
        </w:rPr>
        <w:t xml:space="preserve"> </w:t>
      </w:r>
      <w:r w:rsidR="00C85DE3">
        <w:rPr>
          <w:lang w:val="en-US"/>
        </w:rPr>
        <w:t xml:space="preserve">dan beberapa negara lain didunia </w:t>
      </w:r>
      <w:r>
        <w:rPr>
          <w:lang w:val="en-US"/>
        </w:rPr>
        <w:t xml:space="preserve">dalam menentukan </w:t>
      </w:r>
      <w:r w:rsidR="006D07A9">
        <w:rPr>
          <w:lang w:val="en-US"/>
        </w:rPr>
        <w:t xml:space="preserve">kebijakan pajak </w:t>
      </w:r>
      <w:r w:rsidR="00970C3A">
        <w:rPr>
          <w:lang w:val="en-US"/>
        </w:rPr>
        <w:t xml:space="preserve">pertambahan nilai </w:t>
      </w:r>
      <w:r w:rsidR="0007387A">
        <w:rPr>
          <w:lang w:val="en-US"/>
        </w:rPr>
        <w:t xml:space="preserve">(VAT) </w:t>
      </w:r>
      <w:r w:rsidR="006D07A9">
        <w:rPr>
          <w:lang w:val="en-US"/>
        </w:rPr>
        <w:t>pada perdagangan elektronik</w:t>
      </w:r>
      <w:r w:rsidR="0007387A">
        <w:rPr>
          <w:lang w:val="en-US"/>
        </w:rPr>
        <w:t xml:space="preserve"> </w:t>
      </w:r>
      <w:r w:rsidR="006D07A9">
        <w:rPr>
          <w:lang w:val="en-US"/>
        </w:rPr>
        <w:t>berbasis digital</w:t>
      </w:r>
      <w:r w:rsidR="00C85DE3">
        <w:rPr>
          <w:lang w:val="en-US"/>
        </w:rPr>
        <w:t xml:space="preserve"> (</w:t>
      </w:r>
      <w:r w:rsidR="00C85DE3" w:rsidRPr="00001FBE">
        <w:rPr>
          <w:color w:val="00B0F0"/>
          <w:lang w:val="en-US"/>
        </w:rPr>
        <w:t>Polezharova &amp; Krasnobaeva, 2020</w:t>
      </w:r>
      <w:r w:rsidR="00A53A84">
        <w:rPr>
          <w:color w:val="00B0F0"/>
          <w:lang w:val="en-US"/>
        </w:rPr>
        <w:t xml:space="preserve">; </w:t>
      </w:r>
      <w:r w:rsidR="00501E85">
        <w:rPr>
          <w:color w:val="00B0F0"/>
          <w:lang w:val="en-US"/>
        </w:rPr>
        <w:t xml:space="preserve">Hamid, et al. 2019; </w:t>
      </w:r>
      <w:r w:rsidR="00A53A84">
        <w:rPr>
          <w:color w:val="00B0F0"/>
          <w:lang w:val="en-US"/>
        </w:rPr>
        <w:t>Simon, 2004</w:t>
      </w:r>
      <w:r w:rsidR="00C85DE3" w:rsidRPr="00C85DE3">
        <w:rPr>
          <w:lang w:val="en-US"/>
        </w:rPr>
        <w:t>)</w:t>
      </w:r>
      <w:r w:rsidR="00A8759D">
        <w:rPr>
          <w:lang w:val="en-US"/>
        </w:rPr>
        <w:t>.</w:t>
      </w:r>
      <w:r w:rsidR="00457FD6">
        <w:rPr>
          <w:lang w:val="en-US"/>
        </w:rPr>
        <w:t xml:space="preserve"> </w:t>
      </w:r>
      <w:r w:rsidR="00E37C3C">
        <w:rPr>
          <w:lang w:val="en-US"/>
        </w:rPr>
        <w:t>Penelitian ini menetapkan kebijakan pajak elektronik apakah dapat memperkuat hubungan perilaku konsumen terhadap keinginan mereka untuk melakukan transaksi online (</w:t>
      </w:r>
      <w:r w:rsidR="00E37C3C" w:rsidRPr="00B8082D">
        <w:rPr>
          <w:color w:val="00B0F0"/>
          <w:lang w:val="en-US"/>
        </w:rPr>
        <w:t>Agrawal &amp; Fox, 2017</w:t>
      </w:r>
      <w:r w:rsidR="00E37C3C">
        <w:rPr>
          <w:lang w:val="en-US"/>
        </w:rPr>
        <w:t xml:space="preserve">). </w:t>
      </w:r>
      <w:r w:rsidR="00970C3A">
        <w:rPr>
          <w:lang w:val="en-US"/>
        </w:rPr>
        <w:t xml:space="preserve">Meskipun perdebatan muncul pada </w:t>
      </w:r>
      <w:r w:rsidR="00DE1AC2">
        <w:rPr>
          <w:lang w:val="en-US"/>
        </w:rPr>
        <w:t xml:space="preserve">preferensi kebijakan e-tax pada e-commerce seperti : </w:t>
      </w:r>
      <w:r w:rsidR="00DE1AC2" w:rsidRPr="00DE1AC2">
        <w:rPr>
          <w:lang w:val="en-US"/>
        </w:rPr>
        <w:t xml:space="preserve">tarif pajak </w:t>
      </w:r>
      <w:r w:rsidR="000A1AF9">
        <w:rPr>
          <w:lang w:val="en-US"/>
        </w:rPr>
        <w:t xml:space="preserve">yang tinggi oleh aplikasi </w:t>
      </w:r>
      <w:r w:rsidR="00C508B5">
        <w:rPr>
          <w:lang w:val="en-US"/>
        </w:rPr>
        <w:t>(</w:t>
      </w:r>
      <w:r w:rsidR="00C508B5" w:rsidRPr="00C92773">
        <w:rPr>
          <w:color w:val="00B0F0"/>
          <w:lang w:val="en-US"/>
        </w:rPr>
        <w:t>Tosun &amp; Skidmore, 2007</w:t>
      </w:r>
      <w:r w:rsidR="00C508B5">
        <w:rPr>
          <w:lang w:val="en-US"/>
        </w:rPr>
        <w:t xml:space="preserve">), </w:t>
      </w:r>
      <w:r w:rsidR="002B3229">
        <w:rPr>
          <w:lang w:val="en-US"/>
        </w:rPr>
        <w:t>kualifikasi pajak &amp; sifat transaksi (</w:t>
      </w:r>
      <w:r w:rsidR="002B3229">
        <w:rPr>
          <w:color w:val="00B0F0"/>
          <w:lang w:val="en-US"/>
        </w:rPr>
        <w:t>Scarcella, 2020</w:t>
      </w:r>
      <w:r w:rsidR="002B3229" w:rsidRPr="00EA5E8D">
        <w:rPr>
          <w:lang w:val="en-US"/>
        </w:rPr>
        <w:t>)</w:t>
      </w:r>
      <w:r w:rsidR="007D67E0">
        <w:rPr>
          <w:lang w:val="en-US"/>
        </w:rPr>
        <w:t>, ketentuan barang kena pajak (</w:t>
      </w:r>
      <w:r w:rsidR="007D67E0" w:rsidRPr="007D67E0">
        <w:rPr>
          <w:color w:val="00B0F0"/>
          <w:lang w:val="en-US"/>
        </w:rPr>
        <w:t>Jin, 2003</w:t>
      </w:r>
      <w:r w:rsidR="007D67E0">
        <w:rPr>
          <w:lang w:val="en-US"/>
        </w:rPr>
        <w:t xml:space="preserve">). </w:t>
      </w:r>
      <w:r w:rsidR="000A1AF9">
        <w:rPr>
          <w:lang w:val="en-US"/>
        </w:rPr>
        <w:t xml:space="preserve">Namun, </w:t>
      </w:r>
      <w:r w:rsidR="000A1AF9" w:rsidRPr="009A45E8">
        <w:rPr>
          <w:color w:val="00B0F0"/>
          <w:lang w:val="en-US"/>
        </w:rPr>
        <w:t>Zodrow (2006)</w:t>
      </w:r>
      <w:r w:rsidR="000A1AF9">
        <w:rPr>
          <w:lang w:val="en-US"/>
        </w:rPr>
        <w:t xml:space="preserve"> menjelaskan </w:t>
      </w:r>
      <w:r w:rsidR="009A5D76">
        <w:rPr>
          <w:lang w:val="en-US"/>
        </w:rPr>
        <w:t xml:space="preserve">pajak </w:t>
      </w:r>
      <w:r w:rsidR="007D67E0">
        <w:rPr>
          <w:lang w:val="en-US"/>
        </w:rPr>
        <w:t xml:space="preserve">oleh </w:t>
      </w:r>
      <w:r w:rsidR="000A1AF9" w:rsidRPr="000A1AF9">
        <w:rPr>
          <w:lang w:val="en-US"/>
        </w:rPr>
        <w:t xml:space="preserve">e-commerce </w:t>
      </w:r>
      <w:r w:rsidR="000A1AF9">
        <w:rPr>
          <w:lang w:val="en-US"/>
        </w:rPr>
        <w:t xml:space="preserve">dapat menimbulkan </w:t>
      </w:r>
      <w:r w:rsidR="000A1AF9" w:rsidRPr="000A1AF9">
        <w:rPr>
          <w:lang w:val="en-US"/>
        </w:rPr>
        <w:t>biaya administrasi yang relatif besar</w:t>
      </w:r>
      <w:r w:rsidR="000A1AF9">
        <w:rPr>
          <w:lang w:val="en-US"/>
        </w:rPr>
        <w:t xml:space="preserve"> pada </w:t>
      </w:r>
      <w:r w:rsidR="009A45E8">
        <w:rPr>
          <w:lang w:val="en-US"/>
        </w:rPr>
        <w:t xml:space="preserve">pemintaan pasar </w:t>
      </w:r>
      <w:r w:rsidR="000A1AF9">
        <w:rPr>
          <w:lang w:val="en-US"/>
        </w:rPr>
        <w:t xml:space="preserve">dan </w:t>
      </w:r>
      <w:r w:rsidR="009A5D76">
        <w:rPr>
          <w:lang w:val="en-US"/>
        </w:rPr>
        <w:t xml:space="preserve">kebijakan </w:t>
      </w:r>
      <w:r w:rsidR="000A1AF9" w:rsidRPr="000A1AF9">
        <w:rPr>
          <w:lang w:val="en-US"/>
        </w:rPr>
        <w:t xml:space="preserve">pajak yang rendah lebih </w:t>
      </w:r>
      <w:r w:rsidR="000A1AF9" w:rsidRPr="000A1AF9">
        <w:rPr>
          <w:lang w:val="en-US"/>
        </w:rPr>
        <w:lastRenderedPageBreak/>
        <w:t xml:space="preserve">disukai </w:t>
      </w:r>
      <w:r w:rsidR="009A45E8">
        <w:rPr>
          <w:lang w:val="en-US"/>
        </w:rPr>
        <w:t xml:space="preserve">oleh pembeli dan </w:t>
      </w:r>
      <w:r w:rsidR="00B13F3A">
        <w:rPr>
          <w:lang w:val="en-US"/>
        </w:rPr>
        <w:t>penjual</w:t>
      </w:r>
      <w:r w:rsidR="009A45E8">
        <w:rPr>
          <w:lang w:val="en-US"/>
        </w:rPr>
        <w:t>.</w:t>
      </w:r>
      <w:r w:rsidR="00882695">
        <w:rPr>
          <w:lang w:val="en-US"/>
        </w:rPr>
        <w:t xml:space="preserve"> </w:t>
      </w:r>
      <w:r w:rsidR="00E37C3C">
        <w:rPr>
          <w:lang w:val="en-US"/>
        </w:rPr>
        <w:t>Lebih lanjut</w:t>
      </w:r>
      <w:r w:rsidR="00882695">
        <w:rPr>
          <w:lang w:val="en-US"/>
        </w:rPr>
        <w:t xml:space="preserve">, </w:t>
      </w:r>
      <w:r w:rsidR="00E45661" w:rsidRPr="009A45E8">
        <w:rPr>
          <w:color w:val="00B0F0"/>
          <w:lang w:val="en-US"/>
        </w:rPr>
        <w:t>Zodrow (2006)</w:t>
      </w:r>
      <w:r w:rsidR="00E45661">
        <w:rPr>
          <w:color w:val="00B0F0"/>
          <w:lang w:val="en-US"/>
        </w:rPr>
        <w:t xml:space="preserve"> </w:t>
      </w:r>
      <w:r w:rsidR="00E37C3C">
        <w:rPr>
          <w:lang w:val="en-US"/>
        </w:rPr>
        <w:t xml:space="preserve">menyampaikan bahwa </w:t>
      </w:r>
      <w:r w:rsidR="00E45661">
        <w:rPr>
          <w:lang w:val="en-US"/>
        </w:rPr>
        <w:t xml:space="preserve">konsumen lebih menyukai keseragaman </w:t>
      </w:r>
      <w:r w:rsidR="00932883">
        <w:rPr>
          <w:lang w:val="en-US"/>
        </w:rPr>
        <w:t xml:space="preserve">pungutan </w:t>
      </w:r>
      <w:r w:rsidR="00E45661">
        <w:rPr>
          <w:lang w:val="en-US"/>
        </w:rPr>
        <w:t xml:space="preserve">pajak </w:t>
      </w:r>
      <w:r w:rsidR="00C92773">
        <w:rPr>
          <w:lang w:val="en-US"/>
        </w:rPr>
        <w:t xml:space="preserve">termasuk pada </w:t>
      </w:r>
      <w:r w:rsidR="003E3D9A">
        <w:rPr>
          <w:lang w:val="en-US"/>
        </w:rPr>
        <w:t xml:space="preserve">platform aplikasi </w:t>
      </w:r>
      <w:r w:rsidR="00C92773">
        <w:rPr>
          <w:lang w:val="en-US"/>
        </w:rPr>
        <w:t>online</w:t>
      </w:r>
      <w:r w:rsidR="003E3D9A">
        <w:rPr>
          <w:lang w:val="en-US"/>
        </w:rPr>
        <w:t>.</w:t>
      </w:r>
      <w:r w:rsidR="005F1B14">
        <w:rPr>
          <w:lang w:val="en-US"/>
        </w:rPr>
        <w:t xml:space="preserve"> </w:t>
      </w:r>
      <w:r w:rsidR="005F1B14" w:rsidRPr="005F1B14">
        <w:rPr>
          <w:color w:val="00B0F0"/>
          <w:lang w:val="en-US"/>
        </w:rPr>
        <w:t>Zhou, dkk. (2018)</w:t>
      </w:r>
      <w:r w:rsidR="005F1B14">
        <w:rPr>
          <w:lang w:val="en-US"/>
        </w:rPr>
        <w:t xml:space="preserve"> menjelaskan informasi produk</w:t>
      </w:r>
      <w:r w:rsidR="00A64BAF">
        <w:rPr>
          <w:lang w:val="en-US"/>
        </w:rPr>
        <w:t xml:space="preserve"> yang ada platform online</w:t>
      </w:r>
      <w:r w:rsidR="005F1B14">
        <w:rPr>
          <w:lang w:val="en-US"/>
        </w:rPr>
        <w:t xml:space="preserve"> (termasuk pajak) </w:t>
      </w:r>
      <w:r w:rsidR="005F1B14" w:rsidRPr="005F1B14">
        <w:rPr>
          <w:lang w:val="en-US"/>
        </w:rPr>
        <w:t>membantu konsumen memahami harga produk dengan benar</w:t>
      </w:r>
      <w:r w:rsidR="0093695B">
        <w:rPr>
          <w:lang w:val="en-US"/>
        </w:rPr>
        <w:t xml:space="preserve"> dan p</w:t>
      </w:r>
      <w:r w:rsidR="008F69A5">
        <w:rPr>
          <w:lang w:val="en-US"/>
        </w:rPr>
        <w:t xml:space="preserve">erilaku belanja sejalan dengan </w:t>
      </w:r>
      <w:r w:rsidR="0093695B">
        <w:rPr>
          <w:lang w:val="en-US"/>
        </w:rPr>
        <w:t xml:space="preserve">ketentuan </w:t>
      </w:r>
      <w:r w:rsidR="008F69A5">
        <w:rPr>
          <w:lang w:val="en-US"/>
        </w:rPr>
        <w:t>pajak</w:t>
      </w:r>
      <w:r w:rsidR="0093695B">
        <w:rPr>
          <w:lang w:val="en-US"/>
        </w:rPr>
        <w:t xml:space="preserve"> (</w:t>
      </w:r>
      <w:r w:rsidR="0093695B" w:rsidRPr="004D6DA8">
        <w:rPr>
          <w:color w:val="00B0F0"/>
          <w:lang w:val="en-US"/>
        </w:rPr>
        <w:t>Baker, dkk. 2021;</w:t>
      </w:r>
      <w:r w:rsidR="004D6DA8" w:rsidRPr="004D6DA8">
        <w:rPr>
          <w:color w:val="00B0F0"/>
          <w:lang w:val="en-US"/>
        </w:rPr>
        <w:t xml:space="preserve"> Zhang &amp; Choi, 2021</w:t>
      </w:r>
      <w:r w:rsidR="0093695B">
        <w:rPr>
          <w:lang w:val="en-US"/>
        </w:rPr>
        <w:t>)</w:t>
      </w:r>
      <w:r w:rsidR="00A64BAF">
        <w:rPr>
          <w:lang w:val="en-US"/>
        </w:rPr>
        <w:t xml:space="preserve">. </w:t>
      </w:r>
      <w:r w:rsidR="00F732A5">
        <w:rPr>
          <w:lang w:val="en-US"/>
        </w:rPr>
        <w:t xml:space="preserve">Oleh sebab itu, penelitian ini </w:t>
      </w:r>
      <w:r w:rsidR="0024163D">
        <w:rPr>
          <w:lang w:val="en-US"/>
        </w:rPr>
        <w:t>be</w:t>
      </w:r>
      <w:r w:rsidR="00B92175">
        <w:rPr>
          <w:lang w:val="en-US"/>
        </w:rPr>
        <w:t>r</w:t>
      </w:r>
      <w:r w:rsidR="0024163D">
        <w:rPr>
          <w:lang w:val="en-US"/>
        </w:rPr>
        <w:t>pe</w:t>
      </w:r>
      <w:r w:rsidR="00B92175">
        <w:rPr>
          <w:lang w:val="en-US"/>
        </w:rPr>
        <w:t>n</w:t>
      </w:r>
      <w:r w:rsidR="0024163D">
        <w:rPr>
          <w:lang w:val="en-US"/>
        </w:rPr>
        <w:t xml:space="preserve">dapat bahwa </w:t>
      </w:r>
      <w:r w:rsidR="00F732A5">
        <w:rPr>
          <w:lang w:val="en-US"/>
        </w:rPr>
        <w:t xml:space="preserve">e-tax </w:t>
      </w:r>
      <w:r w:rsidR="0024163D">
        <w:rPr>
          <w:lang w:val="en-US"/>
        </w:rPr>
        <w:t xml:space="preserve">mungkin menjadi </w:t>
      </w:r>
      <w:r w:rsidR="00F732A5">
        <w:rPr>
          <w:lang w:val="en-US"/>
        </w:rPr>
        <w:t xml:space="preserve">moderator dari hubungan perilaku belanja </w:t>
      </w:r>
      <w:r w:rsidR="009D4BE2">
        <w:rPr>
          <w:lang w:val="en-US"/>
        </w:rPr>
        <w:t xml:space="preserve">dan </w:t>
      </w:r>
      <w:r w:rsidR="00F732A5">
        <w:rPr>
          <w:lang w:val="en-US"/>
        </w:rPr>
        <w:t>transaksi online:</w:t>
      </w:r>
    </w:p>
    <w:p w14:paraId="2889C4A3" w14:textId="0E1325BA" w:rsidR="00F732A5" w:rsidRDefault="00F732A5" w:rsidP="00A64BAF">
      <w:pPr>
        <w:rPr>
          <w:lang w:val="en-US"/>
        </w:rPr>
      </w:pPr>
      <w:r w:rsidRPr="00F732A5">
        <w:rPr>
          <w:b/>
          <w:bCs/>
          <w:lang w:val="en-US"/>
        </w:rPr>
        <w:t>H4</w:t>
      </w:r>
      <w:r>
        <w:rPr>
          <w:lang w:val="en-US"/>
        </w:rPr>
        <w:t xml:space="preserve">: </w:t>
      </w:r>
      <w:r>
        <w:t xml:space="preserve">Pajak Elektronik berpengaruh langsung pada </w:t>
      </w:r>
      <w:r>
        <w:rPr>
          <w:lang w:val="en-US"/>
        </w:rPr>
        <w:t xml:space="preserve">perilaku </w:t>
      </w:r>
      <w:r>
        <w:t>tren belanja dan transaksi online</w:t>
      </w:r>
    </w:p>
    <w:p w14:paraId="54E883C1" w14:textId="4470DA09" w:rsidR="00F732A5" w:rsidRDefault="00F732A5" w:rsidP="00A64BAF">
      <w:pPr>
        <w:rPr>
          <w:lang w:val="en-US"/>
        </w:rPr>
      </w:pPr>
      <w:r w:rsidRPr="00F732A5">
        <w:rPr>
          <w:b/>
          <w:bCs/>
          <w:lang w:val="en-US"/>
        </w:rPr>
        <w:t>H5</w:t>
      </w:r>
      <w:r>
        <w:rPr>
          <w:lang w:val="en-US"/>
        </w:rPr>
        <w:t xml:space="preserve">: </w:t>
      </w:r>
      <w:r>
        <w:t xml:space="preserve">Pajak elektronik </w:t>
      </w:r>
      <w:r w:rsidR="00D91A3E">
        <w:rPr>
          <w:lang w:val="en-US"/>
        </w:rPr>
        <w:t>ber</w:t>
      </w:r>
      <w:r>
        <w:t>pengaruh langsung pada hubungan life style dan transaksi online</w:t>
      </w:r>
    </w:p>
    <w:p w14:paraId="50C83D99" w14:textId="33ACC5C0" w:rsidR="00F732A5" w:rsidRPr="00F732A5" w:rsidRDefault="00F732A5" w:rsidP="00A64BAF">
      <w:pPr>
        <w:rPr>
          <w:lang w:val="en-US"/>
        </w:rPr>
      </w:pPr>
      <w:r w:rsidRPr="00F732A5">
        <w:rPr>
          <w:b/>
          <w:bCs/>
          <w:lang w:val="en-US"/>
        </w:rPr>
        <w:t>H6</w:t>
      </w:r>
      <w:r>
        <w:rPr>
          <w:lang w:val="en-US"/>
        </w:rPr>
        <w:t xml:space="preserve">: </w:t>
      </w:r>
      <w:r>
        <w:t>Pajak elektronik berpengaruh langs</w:t>
      </w:r>
      <w:r w:rsidR="004C5E61">
        <w:rPr>
          <w:lang w:val="en-US"/>
        </w:rPr>
        <w:t>u</w:t>
      </w:r>
      <w:r>
        <w:t>ng pada hubungan price dispersion dan transaksi online</w:t>
      </w:r>
    </w:p>
    <w:p w14:paraId="23593505" w14:textId="77777777" w:rsidR="00E46125" w:rsidRDefault="008967D9" w:rsidP="00EA4513">
      <w:pPr>
        <w:pStyle w:val="Heading1"/>
      </w:pPr>
      <w:r>
        <w:t>3. Procedure</w:t>
      </w:r>
    </w:p>
    <w:p w14:paraId="3053D018" w14:textId="77777777" w:rsidR="007B3FB9" w:rsidRPr="007B3FB9" w:rsidRDefault="007B3FB9" w:rsidP="007B3FB9">
      <w:pPr>
        <w:pStyle w:val="Heading2"/>
      </w:pPr>
      <w:r>
        <w:t>3.1. Procedur dan Subjek</w:t>
      </w:r>
    </w:p>
    <w:p w14:paraId="7FDD3EC8" w14:textId="7B9C174F" w:rsidR="00864F8A" w:rsidRDefault="00E17B20" w:rsidP="009F002F">
      <w:pPr>
        <w:rPr>
          <w:lang w:val="en-US"/>
        </w:rPr>
      </w:pPr>
      <w:r w:rsidRPr="008F2AB7">
        <w:rPr>
          <w:lang w:val="en-US"/>
        </w:rPr>
        <w:t>S</w:t>
      </w:r>
      <w:r w:rsidR="00EF73F1" w:rsidRPr="008F2AB7">
        <w:t>urvey online dengan kuisoner pada google form</w:t>
      </w:r>
      <w:r w:rsidR="009F447B" w:rsidRPr="008F2AB7">
        <w:t xml:space="preserve"> </w:t>
      </w:r>
      <w:r w:rsidRPr="008F2AB7">
        <w:rPr>
          <w:lang w:val="en-US"/>
        </w:rPr>
        <w:t xml:space="preserve">kami gunakan untuk memperoleh informasi pada penelitian ini </w:t>
      </w:r>
      <w:r w:rsidR="009F447B" w:rsidRPr="008F2AB7">
        <w:t>dan</w:t>
      </w:r>
      <w:r w:rsidR="00D40EF8" w:rsidRPr="008F2AB7">
        <w:t xml:space="preserve"> </w:t>
      </w:r>
      <w:r w:rsidR="009F447B" w:rsidRPr="008F2AB7">
        <w:t>l</w:t>
      </w:r>
      <w:r w:rsidR="00D40EF8" w:rsidRPr="008F2AB7">
        <w:t>ink kuisoner</w:t>
      </w:r>
      <w:r w:rsidR="004B6F6F" w:rsidRPr="008F2AB7">
        <w:rPr>
          <w:lang w:val="en-US"/>
        </w:rPr>
        <w:t xml:space="preserve"> </w:t>
      </w:r>
      <w:r w:rsidRPr="008F2AB7">
        <w:rPr>
          <w:lang w:val="en-US"/>
        </w:rPr>
        <w:t xml:space="preserve">dibagikan melalui </w:t>
      </w:r>
      <w:r w:rsidR="00D40EF8" w:rsidRPr="008F2AB7">
        <w:t xml:space="preserve">melalui </w:t>
      </w:r>
      <w:r w:rsidRPr="008F2AB7">
        <w:rPr>
          <w:lang w:val="en-US"/>
        </w:rPr>
        <w:t xml:space="preserve">email, </w:t>
      </w:r>
      <w:r w:rsidR="00D40EF8" w:rsidRPr="008F2AB7">
        <w:t>what</w:t>
      </w:r>
      <w:r w:rsidR="00070DC4" w:rsidRPr="008F2AB7">
        <w:t xml:space="preserve"> a</w:t>
      </w:r>
      <w:r w:rsidR="00D40EF8" w:rsidRPr="008F2AB7">
        <w:t>pp, face</w:t>
      </w:r>
      <w:r w:rsidR="004820BC" w:rsidRPr="008F2AB7">
        <w:rPr>
          <w:lang w:val="en-US"/>
        </w:rPr>
        <w:t>b</w:t>
      </w:r>
      <w:r w:rsidR="00D40EF8" w:rsidRPr="008F2AB7">
        <w:t>ook messager dan telegram app.</w:t>
      </w:r>
      <w:r w:rsidR="002F4DBF" w:rsidRPr="008F2AB7">
        <w:t xml:space="preserve"> </w:t>
      </w:r>
      <w:r w:rsidR="004820BC" w:rsidRPr="008F2AB7">
        <w:rPr>
          <w:lang w:val="en-US"/>
        </w:rPr>
        <w:t>Kon</w:t>
      </w:r>
      <w:r w:rsidR="00F6342D">
        <w:rPr>
          <w:lang w:val="en-US"/>
        </w:rPr>
        <w:t>s</w:t>
      </w:r>
      <w:r w:rsidR="004820BC" w:rsidRPr="008F2AB7">
        <w:rPr>
          <w:lang w:val="en-US"/>
        </w:rPr>
        <w:t>truksi yang diajukan pada kuisoner diawali</w:t>
      </w:r>
      <w:r w:rsidR="008F2AB7">
        <w:rPr>
          <w:lang w:val="en-US"/>
        </w:rPr>
        <w:t xml:space="preserve"> profil pribadi dari responden seperti jenis kelamin, umur, </w:t>
      </w:r>
      <w:r w:rsidR="006C3C5F">
        <w:rPr>
          <w:lang w:val="en-US"/>
        </w:rPr>
        <w:t xml:space="preserve">level </w:t>
      </w:r>
      <w:r w:rsidR="00F6342D">
        <w:rPr>
          <w:lang w:val="en-US"/>
        </w:rPr>
        <w:t xml:space="preserve">pekerjaan </w:t>
      </w:r>
      <w:r w:rsidR="006C3C5F">
        <w:rPr>
          <w:lang w:val="en-US"/>
        </w:rPr>
        <w:t>dan dilanjutkan</w:t>
      </w:r>
      <w:r w:rsidR="004820BC" w:rsidRPr="008F2AB7">
        <w:rPr>
          <w:lang w:val="en-US"/>
        </w:rPr>
        <w:t xml:space="preserve"> dengan pertanyaan tentang </w:t>
      </w:r>
      <w:r w:rsidR="0086394E" w:rsidRPr="008F2AB7">
        <w:t xml:space="preserve">keterlibatan subjek dengan </w:t>
      </w:r>
      <w:r w:rsidR="002A47F9" w:rsidRPr="008F2AB7">
        <w:rPr>
          <w:lang w:val="en-US"/>
        </w:rPr>
        <w:t>transaksi</w:t>
      </w:r>
      <w:r w:rsidR="004820BC" w:rsidRPr="008F2AB7">
        <w:rPr>
          <w:lang w:val="en-US"/>
        </w:rPr>
        <w:t xml:space="preserve"> </w:t>
      </w:r>
      <w:r w:rsidR="0086394E" w:rsidRPr="008F2AB7">
        <w:t>online (</w:t>
      </w:r>
      <w:r w:rsidR="002A47F9" w:rsidRPr="008F2AB7">
        <w:rPr>
          <w:lang w:val="en-US"/>
        </w:rPr>
        <w:t>T</w:t>
      </w:r>
      <w:r w:rsidR="0086394E" w:rsidRPr="008F2AB7">
        <w:t>O), seperti</w:t>
      </w:r>
      <w:r w:rsidR="004820BC" w:rsidRPr="008F2AB7">
        <w:rPr>
          <w:lang w:val="en-US"/>
        </w:rPr>
        <w:t>:</w:t>
      </w:r>
      <w:r w:rsidR="005A53B9">
        <w:rPr>
          <w:lang w:val="en-US"/>
        </w:rPr>
        <w:t xml:space="preserve"> </w:t>
      </w:r>
      <w:r w:rsidR="00D40EF8" w:rsidRPr="008F2AB7">
        <w:t>“</w:t>
      </w:r>
      <w:r w:rsidR="002F4DBF" w:rsidRPr="008F2AB7">
        <w:t xml:space="preserve">apakah </w:t>
      </w:r>
      <w:r w:rsidR="004820BC" w:rsidRPr="008F2AB7">
        <w:rPr>
          <w:lang w:val="en-US"/>
        </w:rPr>
        <w:t xml:space="preserve">berlanggan </w:t>
      </w:r>
      <w:r w:rsidR="00D3627A">
        <w:rPr>
          <w:lang w:val="en-US"/>
        </w:rPr>
        <w:t xml:space="preserve">TO </w:t>
      </w:r>
      <w:r w:rsidR="004820BC" w:rsidRPr="008F2AB7">
        <w:rPr>
          <w:lang w:val="en-US"/>
        </w:rPr>
        <w:t>tertentu</w:t>
      </w:r>
      <w:r w:rsidR="0086394E" w:rsidRPr="008F2AB7">
        <w:t xml:space="preserve">, </w:t>
      </w:r>
      <w:r w:rsidR="004820BC" w:rsidRPr="008F2AB7">
        <w:rPr>
          <w:lang w:val="en-US"/>
        </w:rPr>
        <w:t xml:space="preserve">tujuan menggunakan </w:t>
      </w:r>
      <w:r w:rsidR="002A47F9" w:rsidRPr="008F2AB7">
        <w:rPr>
          <w:lang w:val="en-US"/>
        </w:rPr>
        <w:t>T</w:t>
      </w:r>
      <w:r w:rsidR="004820BC" w:rsidRPr="008F2AB7">
        <w:rPr>
          <w:lang w:val="en-US"/>
        </w:rPr>
        <w:t xml:space="preserve">O, berapa </w:t>
      </w:r>
      <w:r w:rsidR="0086394E" w:rsidRPr="008F2AB7">
        <w:t>jumlah</w:t>
      </w:r>
      <w:r w:rsidR="004820BC" w:rsidRPr="008F2AB7">
        <w:rPr>
          <w:lang w:val="en-US"/>
        </w:rPr>
        <w:t xml:space="preserve"> aplikasi </w:t>
      </w:r>
      <w:r w:rsidR="002A47F9" w:rsidRPr="008F2AB7">
        <w:rPr>
          <w:lang w:val="en-US"/>
        </w:rPr>
        <w:t>T</w:t>
      </w:r>
      <w:r w:rsidR="004820BC" w:rsidRPr="008F2AB7">
        <w:rPr>
          <w:lang w:val="en-US"/>
        </w:rPr>
        <w:t xml:space="preserve">O yang </w:t>
      </w:r>
      <w:r w:rsidR="009F002F" w:rsidRPr="008F2AB7">
        <w:rPr>
          <w:lang w:val="en-US"/>
        </w:rPr>
        <w:t>dipakai</w:t>
      </w:r>
      <w:r w:rsidR="004820BC" w:rsidRPr="008F2AB7">
        <w:rPr>
          <w:lang w:val="en-US"/>
        </w:rPr>
        <w:t>,</w:t>
      </w:r>
      <w:r w:rsidR="0086394E" w:rsidRPr="008F2AB7">
        <w:t xml:space="preserve"> </w:t>
      </w:r>
      <w:r w:rsidR="004820BC" w:rsidRPr="008F2AB7">
        <w:rPr>
          <w:lang w:val="en-US"/>
        </w:rPr>
        <w:t xml:space="preserve">dan lama berlanggangan </w:t>
      </w:r>
      <w:r w:rsidR="002A47F9" w:rsidRPr="008F2AB7">
        <w:rPr>
          <w:lang w:val="en-US"/>
        </w:rPr>
        <w:t>T</w:t>
      </w:r>
      <w:r w:rsidR="004820BC" w:rsidRPr="008F2AB7">
        <w:rPr>
          <w:lang w:val="en-US"/>
        </w:rPr>
        <w:t>O</w:t>
      </w:r>
      <w:r w:rsidR="0086394E" w:rsidRPr="008F2AB7">
        <w:t>.</w:t>
      </w:r>
      <w:r w:rsidR="00163401" w:rsidRPr="008F2AB7">
        <w:t xml:space="preserve"> </w:t>
      </w:r>
      <w:r w:rsidR="0086394E" w:rsidRPr="008F2AB7">
        <w:t>Selanjutnya subjek akan menjawa</w:t>
      </w:r>
      <w:r w:rsidR="00384EE3" w:rsidRPr="008F2AB7">
        <w:t>b</w:t>
      </w:r>
      <w:r w:rsidR="0086394E" w:rsidRPr="008F2AB7">
        <w:t xml:space="preserve"> pertanyaan </w:t>
      </w:r>
      <w:r w:rsidR="007B3FB9" w:rsidRPr="008F2AB7">
        <w:t xml:space="preserve">mengenai </w:t>
      </w:r>
      <w:r w:rsidR="00384EE3" w:rsidRPr="008F2AB7">
        <w:t>tren</w:t>
      </w:r>
      <w:r w:rsidR="00E31F6E" w:rsidRPr="008F2AB7">
        <w:rPr>
          <w:lang w:val="en-US"/>
        </w:rPr>
        <w:t xml:space="preserve"> belanja</w:t>
      </w:r>
      <w:r w:rsidR="00384EE3" w:rsidRPr="008F2AB7">
        <w:t>, gaya hidup</w:t>
      </w:r>
      <w:r w:rsidR="00E31F6E" w:rsidRPr="008F2AB7">
        <w:rPr>
          <w:lang w:val="en-US"/>
        </w:rPr>
        <w:t>,</w:t>
      </w:r>
      <w:r w:rsidR="00304517" w:rsidRPr="008F2AB7">
        <w:rPr>
          <w:lang w:val="en-US"/>
        </w:rPr>
        <w:t xml:space="preserve"> price dispersion, e-tax</w:t>
      </w:r>
      <w:r w:rsidR="00E31F6E" w:rsidRPr="008F2AB7">
        <w:rPr>
          <w:lang w:val="en-US"/>
        </w:rPr>
        <w:t xml:space="preserve"> </w:t>
      </w:r>
      <w:r w:rsidR="00384EE3" w:rsidRPr="008F2AB7">
        <w:t xml:space="preserve"> dan </w:t>
      </w:r>
      <w:r w:rsidR="002A47F9" w:rsidRPr="008F2AB7">
        <w:rPr>
          <w:lang w:val="en-US"/>
        </w:rPr>
        <w:t>transaksi</w:t>
      </w:r>
      <w:r w:rsidR="00E31F6E" w:rsidRPr="008F2AB7">
        <w:rPr>
          <w:lang w:val="en-US"/>
        </w:rPr>
        <w:t xml:space="preserve"> </w:t>
      </w:r>
      <w:r w:rsidR="00384EE3" w:rsidRPr="008F2AB7">
        <w:t>online.</w:t>
      </w:r>
      <w:r w:rsidR="006D06D3" w:rsidRPr="008F2AB7">
        <w:t xml:space="preserve"> </w:t>
      </w:r>
      <w:r w:rsidR="00384EE3" w:rsidRPr="008F2AB7">
        <w:t>Sampel pada penelitian ini sifatnya random</w:t>
      </w:r>
      <w:r w:rsidR="008F2AB7">
        <w:rPr>
          <w:lang w:val="en-US"/>
        </w:rPr>
        <w:t xml:space="preserve"> dan tidak ada kriteria khusus yang diterapkan untuk memilih sampel dalam penelitian ini. </w:t>
      </w:r>
      <w:r w:rsidR="00AB511C">
        <w:rPr>
          <w:lang w:val="en-US"/>
        </w:rPr>
        <w:t>Setiap sampel diberitahu bahwa partisipasi ini bersifat sukarela dan mereka bisa keluar kapan saja jika mereka merasa tidak nyaman</w:t>
      </w:r>
      <w:r w:rsidR="007F2275">
        <w:rPr>
          <w:lang w:val="en-US"/>
        </w:rPr>
        <w:t xml:space="preserve"> dengan survey tersebut</w:t>
      </w:r>
      <w:r w:rsidR="00AB511C">
        <w:rPr>
          <w:lang w:val="en-US"/>
        </w:rPr>
        <w:t xml:space="preserve">, Dan sebagai apresiasi tim peneliti, kupon gratis yang </w:t>
      </w:r>
      <w:r w:rsidR="000B293D">
        <w:rPr>
          <w:lang w:val="en-US"/>
        </w:rPr>
        <w:t xml:space="preserve">dapat </w:t>
      </w:r>
      <w:r w:rsidR="00AB511C">
        <w:rPr>
          <w:lang w:val="en-US"/>
        </w:rPr>
        <w:t>ditukarkan dengan segelas kopi</w:t>
      </w:r>
      <w:r w:rsidR="007F2275">
        <w:rPr>
          <w:lang w:val="en-US"/>
        </w:rPr>
        <w:t xml:space="preserve"> pada outlet yang telah ditunjuk</w:t>
      </w:r>
      <w:r w:rsidR="00AB511C">
        <w:rPr>
          <w:lang w:val="en-US"/>
        </w:rPr>
        <w:t xml:space="preserve"> </w:t>
      </w:r>
      <w:r w:rsidR="001E74A3">
        <w:rPr>
          <w:lang w:val="en-US"/>
        </w:rPr>
        <w:t xml:space="preserve">akan </w:t>
      </w:r>
      <w:r w:rsidR="00AB511C">
        <w:rPr>
          <w:lang w:val="en-US"/>
        </w:rPr>
        <w:t xml:space="preserve">kami tawarkan </w:t>
      </w:r>
      <w:r w:rsidR="007F2275">
        <w:rPr>
          <w:lang w:val="en-US"/>
        </w:rPr>
        <w:t xml:space="preserve">kepada </w:t>
      </w:r>
      <w:r w:rsidR="00AB511C">
        <w:rPr>
          <w:lang w:val="en-US"/>
        </w:rPr>
        <w:t>mereka diakhir survei. Secara kesel</w:t>
      </w:r>
      <w:r w:rsidR="007F2275">
        <w:rPr>
          <w:lang w:val="en-US"/>
        </w:rPr>
        <w:t xml:space="preserve">uruhan terdapat 301 data survey yang masuk, namun </w:t>
      </w:r>
      <w:r w:rsidR="001E74A3">
        <w:rPr>
          <w:lang w:val="en-US"/>
        </w:rPr>
        <w:t xml:space="preserve">hanya </w:t>
      </w:r>
      <w:r w:rsidR="004D3F17" w:rsidRPr="008F2AB7">
        <w:rPr>
          <w:lang w:val="en-US"/>
        </w:rPr>
        <w:t>2</w:t>
      </w:r>
      <w:r w:rsidR="007F2275">
        <w:rPr>
          <w:lang w:val="en-US"/>
        </w:rPr>
        <w:t>7</w:t>
      </w:r>
      <w:r w:rsidR="00526A72" w:rsidRPr="008F2AB7">
        <w:t>9</w:t>
      </w:r>
      <w:r w:rsidR="006D06D3" w:rsidRPr="008F2AB7">
        <w:t xml:space="preserve"> jawaban </w:t>
      </w:r>
      <w:r w:rsidR="001E74A3">
        <w:rPr>
          <w:lang w:val="en-US"/>
        </w:rPr>
        <w:t xml:space="preserve">terselesaikan </w:t>
      </w:r>
      <w:r w:rsidR="006D06D3" w:rsidRPr="008F2AB7">
        <w:t xml:space="preserve">dan seluruh data </w:t>
      </w:r>
      <w:r w:rsidR="001E74A3">
        <w:rPr>
          <w:lang w:val="en-US"/>
        </w:rPr>
        <w:t>dianggap valid.</w:t>
      </w:r>
      <w:r w:rsidR="00CE5FB6">
        <w:rPr>
          <w:lang w:val="en-US"/>
        </w:rPr>
        <w:t xml:space="preserve"> </w:t>
      </w:r>
      <w:r w:rsidR="001B7405">
        <w:rPr>
          <w:lang w:val="en-US"/>
        </w:rPr>
        <w:t>T</w:t>
      </w:r>
      <w:r w:rsidR="001B7405" w:rsidRPr="008F2AB7">
        <w:t xml:space="preserve">erkonfirmasi aplikasi </w:t>
      </w:r>
      <w:r w:rsidR="001B7405" w:rsidRPr="008F2AB7">
        <w:rPr>
          <w:lang w:val="en-US"/>
        </w:rPr>
        <w:t xml:space="preserve">transaksi </w:t>
      </w:r>
      <w:r w:rsidR="001B7405" w:rsidRPr="008F2AB7">
        <w:t xml:space="preserve">online yang banyak digunakan oleh subjek adalah shoope, </w:t>
      </w:r>
      <w:r w:rsidR="001B7405" w:rsidRPr="008F2AB7">
        <w:rPr>
          <w:lang w:val="en-US"/>
        </w:rPr>
        <w:t xml:space="preserve">tokopedia, facebook, bukalapak, lazada, grab, </w:t>
      </w:r>
      <w:r w:rsidR="001B7405" w:rsidRPr="008F2AB7">
        <w:t xml:space="preserve">dan </w:t>
      </w:r>
      <w:r w:rsidR="001B7405" w:rsidRPr="008F2AB7">
        <w:rPr>
          <w:lang w:val="en-US"/>
        </w:rPr>
        <w:t>gojek</w:t>
      </w:r>
      <w:r w:rsidR="00DB41E9">
        <w:rPr>
          <w:lang w:val="en-US"/>
        </w:rPr>
        <w:t xml:space="preserve">. Selanjutnya tujuan </w:t>
      </w:r>
      <w:r w:rsidR="006C412F">
        <w:rPr>
          <w:lang w:val="en-US"/>
        </w:rPr>
        <w:t xml:space="preserve">penggunaan </w:t>
      </w:r>
      <w:r w:rsidR="00DB41E9">
        <w:rPr>
          <w:lang w:val="en-US"/>
        </w:rPr>
        <w:t xml:space="preserve">aplikasi adalah untuk belanja, membayar tagihan, transfer uang, pemesanan tiket, pemesanan aplikasi online </w:t>
      </w:r>
      <w:r w:rsidR="00CE5FB6" w:rsidRPr="00CE5FB6">
        <w:rPr>
          <w:lang w:val="en-US"/>
        </w:rPr>
        <w:t>Tabel 1 menunjukkan profil</w:t>
      </w:r>
      <w:r w:rsidR="00CE5FB6">
        <w:rPr>
          <w:lang w:val="en-US"/>
        </w:rPr>
        <w:t xml:space="preserve"> demografi dan </w:t>
      </w:r>
      <w:r w:rsidR="00003CB7">
        <w:rPr>
          <w:lang w:val="en-US"/>
        </w:rPr>
        <w:t>hubungan subjek dengan TO</w:t>
      </w:r>
      <w:r w:rsidR="001B7405">
        <w:rPr>
          <w:lang w:val="en-US"/>
        </w:rPr>
        <w:t>, yaitu:</w:t>
      </w:r>
    </w:p>
    <w:tbl>
      <w:tblPr>
        <w:tblStyle w:val="TableGrid"/>
        <w:tblW w:w="6719" w:type="dxa"/>
        <w:jc w:val="center"/>
        <w:tblLook w:val="04A0" w:firstRow="1" w:lastRow="0" w:firstColumn="1" w:lastColumn="0" w:noHBand="0" w:noVBand="1"/>
      </w:tblPr>
      <w:tblGrid>
        <w:gridCol w:w="1707"/>
        <w:gridCol w:w="1530"/>
        <w:gridCol w:w="9"/>
        <w:gridCol w:w="1971"/>
        <w:gridCol w:w="1502"/>
      </w:tblGrid>
      <w:tr w:rsidR="00516365" w:rsidRPr="00922229" w14:paraId="58E681F8" w14:textId="77777777" w:rsidTr="00516365">
        <w:trPr>
          <w:jc w:val="center"/>
        </w:trPr>
        <w:tc>
          <w:tcPr>
            <w:tcW w:w="6719" w:type="dxa"/>
            <w:gridSpan w:val="5"/>
            <w:tcBorders>
              <w:left w:val="nil"/>
              <w:bottom w:val="single" w:sz="4" w:space="0" w:color="auto"/>
              <w:right w:val="nil"/>
            </w:tcBorders>
            <w:shd w:val="clear" w:color="auto" w:fill="000000" w:themeFill="text1"/>
          </w:tcPr>
          <w:p w14:paraId="4D47DC98" w14:textId="5CF53D26" w:rsidR="00516365" w:rsidRPr="00867C92" w:rsidRDefault="00516365" w:rsidP="00867C92">
            <w:pPr>
              <w:spacing w:line="240" w:lineRule="auto"/>
              <w:jc w:val="center"/>
              <w:rPr>
                <w:b/>
                <w:bCs/>
                <w:sz w:val="20"/>
                <w:szCs w:val="16"/>
              </w:rPr>
            </w:pPr>
            <w:r w:rsidRPr="000B340C">
              <w:rPr>
                <w:sz w:val="20"/>
                <w:szCs w:val="16"/>
              </w:rPr>
              <w:t>Tabel. 1. Profil demografi dan hubungannya subjek ke TO</w:t>
            </w:r>
          </w:p>
        </w:tc>
      </w:tr>
      <w:tr w:rsidR="00864F8A" w:rsidRPr="00922229" w14:paraId="1D4076EC" w14:textId="77777777" w:rsidTr="001046E6">
        <w:trPr>
          <w:jc w:val="center"/>
        </w:trPr>
        <w:tc>
          <w:tcPr>
            <w:tcW w:w="1707" w:type="dxa"/>
            <w:tcBorders>
              <w:left w:val="nil"/>
              <w:bottom w:val="single" w:sz="4" w:space="0" w:color="auto"/>
              <w:right w:val="nil"/>
            </w:tcBorders>
          </w:tcPr>
          <w:p w14:paraId="1AEBA84C" w14:textId="5CE09B76" w:rsidR="00864F8A" w:rsidRPr="00867C92" w:rsidRDefault="00864F8A" w:rsidP="00922229">
            <w:pPr>
              <w:spacing w:line="240" w:lineRule="auto"/>
              <w:rPr>
                <w:b/>
                <w:bCs/>
                <w:sz w:val="20"/>
                <w:szCs w:val="16"/>
              </w:rPr>
            </w:pPr>
            <w:r w:rsidRPr="00867C92">
              <w:rPr>
                <w:b/>
                <w:bCs/>
                <w:sz w:val="20"/>
                <w:szCs w:val="16"/>
              </w:rPr>
              <w:t>Gender</w:t>
            </w:r>
          </w:p>
        </w:tc>
        <w:tc>
          <w:tcPr>
            <w:tcW w:w="1530" w:type="dxa"/>
            <w:tcBorders>
              <w:left w:val="nil"/>
              <w:bottom w:val="single" w:sz="4" w:space="0" w:color="auto"/>
              <w:right w:val="nil"/>
            </w:tcBorders>
          </w:tcPr>
          <w:p w14:paraId="5DA43C9B" w14:textId="7FD1FAFD" w:rsidR="00864F8A" w:rsidRPr="00867C92" w:rsidRDefault="00864F8A" w:rsidP="00867C92">
            <w:pPr>
              <w:spacing w:line="240" w:lineRule="auto"/>
              <w:jc w:val="center"/>
              <w:rPr>
                <w:b/>
                <w:bCs/>
                <w:sz w:val="20"/>
                <w:szCs w:val="16"/>
              </w:rPr>
            </w:pPr>
            <w:r w:rsidRPr="00867C92">
              <w:rPr>
                <w:b/>
                <w:bCs/>
                <w:sz w:val="20"/>
                <w:szCs w:val="16"/>
              </w:rPr>
              <w:t>Percentage %</w:t>
            </w:r>
          </w:p>
        </w:tc>
        <w:tc>
          <w:tcPr>
            <w:tcW w:w="1980" w:type="dxa"/>
            <w:gridSpan w:val="2"/>
            <w:tcBorders>
              <w:left w:val="nil"/>
              <w:bottom w:val="single" w:sz="4" w:space="0" w:color="auto"/>
              <w:right w:val="nil"/>
            </w:tcBorders>
          </w:tcPr>
          <w:p w14:paraId="00B5EDB7" w14:textId="28ADAD5F" w:rsidR="00864F8A" w:rsidRPr="00867C92" w:rsidRDefault="00922229" w:rsidP="00867C92">
            <w:pPr>
              <w:spacing w:line="240" w:lineRule="auto"/>
              <w:jc w:val="left"/>
              <w:rPr>
                <w:b/>
                <w:bCs/>
                <w:sz w:val="20"/>
                <w:szCs w:val="16"/>
              </w:rPr>
            </w:pPr>
            <w:r w:rsidRPr="00867C92">
              <w:rPr>
                <w:b/>
                <w:bCs/>
                <w:sz w:val="20"/>
                <w:szCs w:val="16"/>
              </w:rPr>
              <w:t>Berlangganan TO</w:t>
            </w:r>
          </w:p>
        </w:tc>
        <w:tc>
          <w:tcPr>
            <w:tcW w:w="1502" w:type="dxa"/>
            <w:tcBorders>
              <w:left w:val="nil"/>
              <w:bottom w:val="single" w:sz="4" w:space="0" w:color="auto"/>
              <w:right w:val="nil"/>
            </w:tcBorders>
          </w:tcPr>
          <w:p w14:paraId="5E6D2C11" w14:textId="6DA7A0FA" w:rsidR="00864F8A" w:rsidRPr="00867C92" w:rsidRDefault="00922229" w:rsidP="00867C92">
            <w:pPr>
              <w:spacing w:line="240" w:lineRule="auto"/>
              <w:jc w:val="center"/>
              <w:rPr>
                <w:b/>
                <w:bCs/>
                <w:sz w:val="20"/>
                <w:szCs w:val="16"/>
              </w:rPr>
            </w:pPr>
            <w:r w:rsidRPr="00867C92">
              <w:rPr>
                <w:b/>
                <w:bCs/>
                <w:sz w:val="20"/>
                <w:szCs w:val="16"/>
              </w:rPr>
              <w:t>Percentage %</w:t>
            </w:r>
          </w:p>
        </w:tc>
      </w:tr>
      <w:tr w:rsidR="00864F8A" w:rsidRPr="00922229" w14:paraId="3A3D4510" w14:textId="77777777" w:rsidTr="001046E6">
        <w:trPr>
          <w:jc w:val="center"/>
        </w:trPr>
        <w:tc>
          <w:tcPr>
            <w:tcW w:w="1707" w:type="dxa"/>
            <w:tcBorders>
              <w:left w:val="nil"/>
              <w:bottom w:val="nil"/>
              <w:right w:val="nil"/>
            </w:tcBorders>
          </w:tcPr>
          <w:p w14:paraId="4D1F0C82" w14:textId="450A9A46" w:rsidR="00864F8A" w:rsidRPr="00922229" w:rsidRDefault="00864F8A" w:rsidP="00922229">
            <w:pPr>
              <w:spacing w:line="240" w:lineRule="auto"/>
              <w:rPr>
                <w:sz w:val="20"/>
                <w:szCs w:val="16"/>
              </w:rPr>
            </w:pPr>
            <w:r w:rsidRPr="00922229">
              <w:rPr>
                <w:sz w:val="20"/>
                <w:szCs w:val="16"/>
              </w:rPr>
              <w:lastRenderedPageBreak/>
              <w:t>Male</w:t>
            </w:r>
          </w:p>
        </w:tc>
        <w:tc>
          <w:tcPr>
            <w:tcW w:w="1530" w:type="dxa"/>
            <w:tcBorders>
              <w:left w:val="nil"/>
              <w:bottom w:val="nil"/>
              <w:right w:val="nil"/>
            </w:tcBorders>
          </w:tcPr>
          <w:p w14:paraId="3B2FA9B9" w14:textId="3D86932A" w:rsidR="00864F8A" w:rsidRPr="00922229" w:rsidRDefault="001B7405" w:rsidP="001B7405">
            <w:pPr>
              <w:spacing w:line="240" w:lineRule="auto"/>
              <w:jc w:val="center"/>
              <w:rPr>
                <w:sz w:val="20"/>
                <w:szCs w:val="16"/>
              </w:rPr>
            </w:pPr>
            <w:r>
              <w:rPr>
                <w:sz w:val="20"/>
                <w:szCs w:val="16"/>
              </w:rPr>
              <w:t>3</w:t>
            </w:r>
            <w:r w:rsidR="00284DCA">
              <w:rPr>
                <w:sz w:val="20"/>
                <w:szCs w:val="16"/>
              </w:rPr>
              <w:t>0</w:t>
            </w:r>
            <w:r w:rsidR="001637DC">
              <w:rPr>
                <w:sz w:val="20"/>
                <w:szCs w:val="16"/>
              </w:rPr>
              <w:t>.</w:t>
            </w:r>
            <w:r w:rsidR="00284DCA">
              <w:rPr>
                <w:sz w:val="20"/>
                <w:szCs w:val="16"/>
              </w:rPr>
              <w:t>8</w:t>
            </w:r>
          </w:p>
        </w:tc>
        <w:tc>
          <w:tcPr>
            <w:tcW w:w="1980" w:type="dxa"/>
            <w:gridSpan w:val="2"/>
            <w:tcBorders>
              <w:left w:val="nil"/>
              <w:bottom w:val="nil"/>
              <w:right w:val="nil"/>
            </w:tcBorders>
          </w:tcPr>
          <w:p w14:paraId="2E8EF786" w14:textId="02910D44" w:rsidR="00864F8A" w:rsidRPr="00922229" w:rsidRDefault="00922229" w:rsidP="00922229">
            <w:pPr>
              <w:spacing w:line="240" w:lineRule="auto"/>
              <w:rPr>
                <w:sz w:val="20"/>
                <w:szCs w:val="16"/>
              </w:rPr>
            </w:pPr>
            <w:r>
              <w:rPr>
                <w:sz w:val="20"/>
                <w:szCs w:val="16"/>
              </w:rPr>
              <w:t>Satu aplikasi</w:t>
            </w:r>
          </w:p>
        </w:tc>
        <w:tc>
          <w:tcPr>
            <w:tcW w:w="1502" w:type="dxa"/>
            <w:tcBorders>
              <w:left w:val="nil"/>
              <w:bottom w:val="nil"/>
              <w:right w:val="nil"/>
            </w:tcBorders>
          </w:tcPr>
          <w:p w14:paraId="3DBA96F0" w14:textId="6D7897C3" w:rsidR="00864F8A" w:rsidRPr="00922229" w:rsidRDefault="00CF0C89" w:rsidP="00867C92">
            <w:pPr>
              <w:spacing w:line="240" w:lineRule="auto"/>
              <w:jc w:val="center"/>
              <w:rPr>
                <w:sz w:val="20"/>
                <w:szCs w:val="16"/>
              </w:rPr>
            </w:pPr>
            <w:r>
              <w:rPr>
                <w:sz w:val="20"/>
                <w:szCs w:val="16"/>
              </w:rPr>
              <w:t>18.3</w:t>
            </w:r>
          </w:p>
        </w:tc>
      </w:tr>
      <w:tr w:rsidR="00864F8A" w:rsidRPr="00922229" w14:paraId="3378DBC3" w14:textId="77777777" w:rsidTr="001046E6">
        <w:trPr>
          <w:jc w:val="center"/>
        </w:trPr>
        <w:tc>
          <w:tcPr>
            <w:tcW w:w="1707" w:type="dxa"/>
            <w:tcBorders>
              <w:top w:val="nil"/>
              <w:left w:val="nil"/>
              <w:bottom w:val="nil"/>
              <w:right w:val="nil"/>
            </w:tcBorders>
          </w:tcPr>
          <w:p w14:paraId="33194A84" w14:textId="50B1A73C" w:rsidR="00864F8A" w:rsidRPr="00922229" w:rsidRDefault="00864F8A" w:rsidP="00922229">
            <w:pPr>
              <w:spacing w:line="240" w:lineRule="auto"/>
              <w:rPr>
                <w:sz w:val="20"/>
                <w:szCs w:val="16"/>
              </w:rPr>
            </w:pPr>
            <w:r w:rsidRPr="00922229">
              <w:rPr>
                <w:sz w:val="20"/>
                <w:szCs w:val="16"/>
              </w:rPr>
              <w:t>Female</w:t>
            </w:r>
          </w:p>
        </w:tc>
        <w:tc>
          <w:tcPr>
            <w:tcW w:w="1530" w:type="dxa"/>
            <w:tcBorders>
              <w:top w:val="nil"/>
              <w:left w:val="nil"/>
              <w:bottom w:val="nil"/>
              <w:right w:val="nil"/>
            </w:tcBorders>
          </w:tcPr>
          <w:p w14:paraId="6C4C7FE5" w14:textId="5C754C59" w:rsidR="00864F8A" w:rsidRPr="00922229" w:rsidRDefault="001B7405" w:rsidP="001B7405">
            <w:pPr>
              <w:spacing w:line="240" w:lineRule="auto"/>
              <w:jc w:val="center"/>
              <w:rPr>
                <w:sz w:val="20"/>
                <w:szCs w:val="16"/>
              </w:rPr>
            </w:pPr>
            <w:r>
              <w:rPr>
                <w:sz w:val="20"/>
                <w:szCs w:val="16"/>
              </w:rPr>
              <w:t>6</w:t>
            </w:r>
            <w:r w:rsidR="00284DCA">
              <w:rPr>
                <w:sz w:val="20"/>
                <w:szCs w:val="16"/>
              </w:rPr>
              <w:t>9</w:t>
            </w:r>
            <w:r w:rsidR="001637DC">
              <w:rPr>
                <w:sz w:val="20"/>
                <w:szCs w:val="16"/>
              </w:rPr>
              <w:t>.</w:t>
            </w:r>
            <w:r w:rsidR="004B1111">
              <w:rPr>
                <w:sz w:val="20"/>
                <w:szCs w:val="16"/>
              </w:rPr>
              <w:t>2</w:t>
            </w:r>
          </w:p>
        </w:tc>
        <w:tc>
          <w:tcPr>
            <w:tcW w:w="1980" w:type="dxa"/>
            <w:gridSpan w:val="2"/>
            <w:tcBorders>
              <w:top w:val="nil"/>
              <w:left w:val="nil"/>
              <w:bottom w:val="nil"/>
              <w:right w:val="nil"/>
            </w:tcBorders>
          </w:tcPr>
          <w:p w14:paraId="4DD35B24" w14:textId="7610A12F" w:rsidR="00864F8A" w:rsidRPr="00922229" w:rsidRDefault="00922229" w:rsidP="00922229">
            <w:pPr>
              <w:spacing w:line="240" w:lineRule="auto"/>
              <w:rPr>
                <w:sz w:val="20"/>
                <w:szCs w:val="16"/>
              </w:rPr>
            </w:pPr>
            <w:r>
              <w:rPr>
                <w:sz w:val="20"/>
                <w:szCs w:val="16"/>
              </w:rPr>
              <w:t>Dua aplikasi</w:t>
            </w:r>
          </w:p>
        </w:tc>
        <w:tc>
          <w:tcPr>
            <w:tcW w:w="1502" w:type="dxa"/>
            <w:tcBorders>
              <w:top w:val="nil"/>
              <w:left w:val="nil"/>
              <w:bottom w:val="nil"/>
              <w:right w:val="nil"/>
            </w:tcBorders>
          </w:tcPr>
          <w:p w14:paraId="405C6419" w14:textId="297234D6" w:rsidR="00864F8A" w:rsidRPr="00922229" w:rsidRDefault="00127353" w:rsidP="00867C92">
            <w:pPr>
              <w:spacing w:line="240" w:lineRule="auto"/>
              <w:jc w:val="center"/>
              <w:rPr>
                <w:sz w:val="20"/>
                <w:szCs w:val="16"/>
              </w:rPr>
            </w:pPr>
            <w:r>
              <w:rPr>
                <w:sz w:val="20"/>
                <w:szCs w:val="16"/>
              </w:rPr>
              <w:t>25.4</w:t>
            </w:r>
          </w:p>
        </w:tc>
      </w:tr>
      <w:tr w:rsidR="00922229" w:rsidRPr="00922229" w14:paraId="77CE7CB8" w14:textId="77777777" w:rsidTr="001046E6">
        <w:trPr>
          <w:jc w:val="center"/>
        </w:trPr>
        <w:tc>
          <w:tcPr>
            <w:tcW w:w="3246" w:type="dxa"/>
            <w:gridSpan w:val="3"/>
            <w:tcBorders>
              <w:top w:val="nil"/>
              <w:left w:val="nil"/>
              <w:bottom w:val="nil"/>
              <w:right w:val="nil"/>
            </w:tcBorders>
          </w:tcPr>
          <w:p w14:paraId="002E07ED" w14:textId="42E1F56A" w:rsidR="00922229" w:rsidRPr="00922229" w:rsidRDefault="00922229" w:rsidP="00922229">
            <w:pPr>
              <w:spacing w:line="240" w:lineRule="auto"/>
              <w:rPr>
                <w:b/>
                <w:bCs/>
                <w:sz w:val="20"/>
                <w:szCs w:val="16"/>
              </w:rPr>
            </w:pPr>
            <w:r w:rsidRPr="00922229">
              <w:rPr>
                <w:b/>
                <w:bCs/>
                <w:sz w:val="20"/>
                <w:szCs w:val="16"/>
              </w:rPr>
              <w:t xml:space="preserve">Age </w:t>
            </w:r>
          </w:p>
        </w:tc>
        <w:tc>
          <w:tcPr>
            <w:tcW w:w="1971" w:type="dxa"/>
            <w:tcBorders>
              <w:top w:val="nil"/>
              <w:left w:val="nil"/>
              <w:bottom w:val="nil"/>
              <w:right w:val="nil"/>
            </w:tcBorders>
          </w:tcPr>
          <w:p w14:paraId="00F2C162" w14:textId="25E812BD" w:rsidR="00922229" w:rsidRPr="00922229" w:rsidRDefault="00074AFD" w:rsidP="00922229">
            <w:pPr>
              <w:spacing w:line="240" w:lineRule="auto"/>
              <w:rPr>
                <w:sz w:val="20"/>
                <w:szCs w:val="16"/>
              </w:rPr>
            </w:pPr>
            <w:r>
              <w:rPr>
                <w:sz w:val="20"/>
                <w:szCs w:val="16"/>
              </w:rPr>
              <w:t>&gt;</w:t>
            </w:r>
            <w:r w:rsidR="00922229">
              <w:rPr>
                <w:sz w:val="20"/>
                <w:szCs w:val="16"/>
              </w:rPr>
              <w:t xml:space="preserve"> 3 aplikasi</w:t>
            </w:r>
          </w:p>
        </w:tc>
        <w:tc>
          <w:tcPr>
            <w:tcW w:w="1502" w:type="dxa"/>
            <w:tcBorders>
              <w:top w:val="nil"/>
              <w:left w:val="nil"/>
              <w:bottom w:val="nil"/>
              <w:right w:val="nil"/>
            </w:tcBorders>
          </w:tcPr>
          <w:p w14:paraId="7BF16C23" w14:textId="23B64B03" w:rsidR="00922229" w:rsidRPr="00922229" w:rsidRDefault="00127353" w:rsidP="00867C92">
            <w:pPr>
              <w:spacing w:line="240" w:lineRule="auto"/>
              <w:jc w:val="center"/>
              <w:rPr>
                <w:sz w:val="20"/>
                <w:szCs w:val="16"/>
              </w:rPr>
            </w:pPr>
            <w:r>
              <w:rPr>
                <w:sz w:val="20"/>
                <w:szCs w:val="16"/>
              </w:rPr>
              <w:t>56,3</w:t>
            </w:r>
          </w:p>
        </w:tc>
      </w:tr>
      <w:tr w:rsidR="00CD703D" w:rsidRPr="00922229" w14:paraId="48864355" w14:textId="77777777" w:rsidTr="001046E6">
        <w:trPr>
          <w:trHeight w:val="109"/>
          <w:jc w:val="center"/>
        </w:trPr>
        <w:tc>
          <w:tcPr>
            <w:tcW w:w="1707" w:type="dxa"/>
            <w:tcBorders>
              <w:top w:val="nil"/>
              <w:left w:val="nil"/>
              <w:bottom w:val="nil"/>
              <w:right w:val="nil"/>
            </w:tcBorders>
          </w:tcPr>
          <w:p w14:paraId="7D4C15E4" w14:textId="284BD7F9" w:rsidR="00CD703D" w:rsidRPr="00922229" w:rsidRDefault="00CD703D" w:rsidP="00CD703D">
            <w:pPr>
              <w:spacing w:line="240" w:lineRule="auto"/>
              <w:rPr>
                <w:sz w:val="20"/>
                <w:szCs w:val="16"/>
              </w:rPr>
            </w:pPr>
            <w:r w:rsidRPr="00922229">
              <w:rPr>
                <w:sz w:val="20"/>
                <w:szCs w:val="16"/>
              </w:rPr>
              <w:t>7-20</w:t>
            </w:r>
          </w:p>
        </w:tc>
        <w:tc>
          <w:tcPr>
            <w:tcW w:w="1530" w:type="dxa"/>
            <w:tcBorders>
              <w:top w:val="nil"/>
              <w:left w:val="nil"/>
              <w:bottom w:val="nil"/>
              <w:right w:val="nil"/>
            </w:tcBorders>
          </w:tcPr>
          <w:p w14:paraId="6AF0BE9E" w14:textId="5D91D288" w:rsidR="00CD703D" w:rsidRPr="00922229" w:rsidRDefault="00CD703D" w:rsidP="00CD703D">
            <w:pPr>
              <w:spacing w:line="240" w:lineRule="auto"/>
              <w:jc w:val="center"/>
              <w:rPr>
                <w:sz w:val="20"/>
                <w:szCs w:val="16"/>
              </w:rPr>
            </w:pPr>
            <w:r>
              <w:rPr>
                <w:sz w:val="20"/>
                <w:szCs w:val="16"/>
              </w:rPr>
              <w:t>8,6</w:t>
            </w:r>
          </w:p>
        </w:tc>
        <w:tc>
          <w:tcPr>
            <w:tcW w:w="3482" w:type="dxa"/>
            <w:gridSpan w:val="3"/>
            <w:tcBorders>
              <w:top w:val="nil"/>
              <w:left w:val="nil"/>
              <w:bottom w:val="nil"/>
              <w:right w:val="nil"/>
            </w:tcBorders>
          </w:tcPr>
          <w:p w14:paraId="5A429CCD" w14:textId="2697A8DB" w:rsidR="00CD703D" w:rsidRPr="00867C92" w:rsidRDefault="00CD703D" w:rsidP="00CD703D">
            <w:pPr>
              <w:spacing w:line="240" w:lineRule="auto"/>
              <w:rPr>
                <w:b/>
                <w:bCs/>
                <w:sz w:val="20"/>
                <w:szCs w:val="16"/>
              </w:rPr>
            </w:pPr>
            <w:r w:rsidRPr="001B7405">
              <w:rPr>
                <w:b/>
                <w:bCs/>
                <w:sz w:val="20"/>
                <w:szCs w:val="16"/>
              </w:rPr>
              <w:t>Lama Berlanggangan</w:t>
            </w:r>
          </w:p>
        </w:tc>
      </w:tr>
      <w:tr w:rsidR="00CD703D" w:rsidRPr="00922229" w14:paraId="68A0C597" w14:textId="77777777" w:rsidTr="001046E6">
        <w:trPr>
          <w:jc w:val="center"/>
        </w:trPr>
        <w:tc>
          <w:tcPr>
            <w:tcW w:w="1707" w:type="dxa"/>
            <w:tcBorders>
              <w:top w:val="nil"/>
              <w:left w:val="nil"/>
              <w:bottom w:val="nil"/>
              <w:right w:val="nil"/>
            </w:tcBorders>
          </w:tcPr>
          <w:p w14:paraId="3489E7CD" w14:textId="0F7DD1BE" w:rsidR="00CD703D" w:rsidRPr="00922229" w:rsidRDefault="00CD703D" w:rsidP="00CD703D">
            <w:pPr>
              <w:spacing w:line="240" w:lineRule="auto"/>
              <w:rPr>
                <w:sz w:val="20"/>
                <w:szCs w:val="16"/>
              </w:rPr>
            </w:pPr>
            <w:r w:rsidRPr="00922229">
              <w:rPr>
                <w:sz w:val="20"/>
                <w:szCs w:val="16"/>
              </w:rPr>
              <w:t>21-35</w:t>
            </w:r>
          </w:p>
        </w:tc>
        <w:tc>
          <w:tcPr>
            <w:tcW w:w="1530" w:type="dxa"/>
            <w:tcBorders>
              <w:top w:val="nil"/>
              <w:left w:val="nil"/>
              <w:bottom w:val="nil"/>
              <w:right w:val="nil"/>
            </w:tcBorders>
          </w:tcPr>
          <w:p w14:paraId="298E6869" w14:textId="1A4DF105" w:rsidR="00CD703D" w:rsidRPr="00922229" w:rsidRDefault="00CD703D" w:rsidP="00CD703D">
            <w:pPr>
              <w:spacing w:line="240" w:lineRule="auto"/>
              <w:jc w:val="center"/>
              <w:rPr>
                <w:sz w:val="20"/>
                <w:szCs w:val="16"/>
              </w:rPr>
            </w:pPr>
            <w:r>
              <w:rPr>
                <w:sz w:val="20"/>
                <w:szCs w:val="16"/>
              </w:rPr>
              <w:t>45.5</w:t>
            </w:r>
          </w:p>
        </w:tc>
        <w:tc>
          <w:tcPr>
            <w:tcW w:w="1980" w:type="dxa"/>
            <w:gridSpan w:val="2"/>
            <w:tcBorders>
              <w:top w:val="nil"/>
              <w:left w:val="nil"/>
              <w:bottom w:val="nil"/>
              <w:right w:val="nil"/>
            </w:tcBorders>
          </w:tcPr>
          <w:p w14:paraId="57483BD1" w14:textId="59256B62" w:rsidR="00CD703D" w:rsidRPr="00922229" w:rsidRDefault="00CD703D" w:rsidP="00CD703D">
            <w:pPr>
              <w:spacing w:line="240" w:lineRule="auto"/>
              <w:rPr>
                <w:sz w:val="20"/>
                <w:szCs w:val="16"/>
              </w:rPr>
            </w:pPr>
            <w:r>
              <w:rPr>
                <w:sz w:val="20"/>
                <w:szCs w:val="16"/>
              </w:rPr>
              <w:t>1 Tahun</w:t>
            </w:r>
          </w:p>
        </w:tc>
        <w:tc>
          <w:tcPr>
            <w:tcW w:w="1502" w:type="dxa"/>
            <w:tcBorders>
              <w:top w:val="nil"/>
              <w:left w:val="nil"/>
              <w:bottom w:val="nil"/>
              <w:right w:val="nil"/>
            </w:tcBorders>
          </w:tcPr>
          <w:p w14:paraId="092B9932" w14:textId="0B95819F" w:rsidR="00CD703D" w:rsidRPr="00922229" w:rsidRDefault="00CD703D" w:rsidP="00CD703D">
            <w:pPr>
              <w:spacing w:line="240" w:lineRule="auto"/>
              <w:jc w:val="center"/>
              <w:rPr>
                <w:sz w:val="20"/>
                <w:szCs w:val="16"/>
              </w:rPr>
            </w:pPr>
            <w:r>
              <w:rPr>
                <w:sz w:val="20"/>
                <w:szCs w:val="16"/>
              </w:rPr>
              <w:t>8.2</w:t>
            </w:r>
          </w:p>
        </w:tc>
      </w:tr>
      <w:tr w:rsidR="00CD703D" w:rsidRPr="00922229" w14:paraId="47AC4441" w14:textId="77777777" w:rsidTr="001046E6">
        <w:trPr>
          <w:jc w:val="center"/>
        </w:trPr>
        <w:tc>
          <w:tcPr>
            <w:tcW w:w="1707" w:type="dxa"/>
            <w:tcBorders>
              <w:top w:val="nil"/>
              <w:left w:val="nil"/>
              <w:bottom w:val="nil"/>
              <w:right w:val="nil"/>
            </w:tcBorders>
          </w:tcPr>
          <w:p w14:paraId="6C3B0C08" w14:textId="0CF7C145" w:rsidR="00CD703D" w:rsidRPr="00922229" w:rsidRDefault="00CD703D" w:rsidP="00CD703D">
            <w:pPr>
              <w:spacing w:line="240" w:lineRule="auto"/>
              <w:rPr>
                <w:sz w:val="20"/>
                <w:szCs w:val="16"/>
              </w:rPr>
            </w:pPr>
            <w:r w:rsidRPr="00922229">
              <w:rPr>
                <w:sz w:val="20"/>
                <w:szCs w:val="16"/>
              </w:rPr>
              <w:t>36-50</w:t>
            </w:r>
          </w:p>
        </w:tc>
        <w:tc>
          <w:tcPr>
            <w:tcW w:w="1530" w:type="dxa"/>
            <w:tcBorders>
              <w:top w:val="nil"/>
              <w:left w:val="nil"/>
              <w:bottom w:val="nil"/>
              <w:right w:val="nil"/>
            </w:tcBorders>
          </w:tcPr>
          <w:p w14:paraId="30497C4E" w14:textId="012E4615" w:rsidR="00CD703D" w:rsidRPr="00922229" w:rsidRDefault="00CD703D" w:rsidP="00CD703D">
            <w:pPr>
              <w:spacing w:line="240" w:lineRule="auto"/>
              <w:jc w:val="center"/>
              <w:rPr>
                <w:sz w:val="20"/>
                <w:szCs w:val="16"/>
              </w:rPr>
            </w:pPr>
            <w:r>
              <w:rPr>
                <w:sz w:val="20"/>
                <w:szCs w:val="16"/>
              </w:rPr>
              <w:t>32.3</w:t>
            </w:r>
          </w:p>
        </w:tc>
        <w:tc>
          <w:tcPr>
            <w:tcW w:w="1980" w:type="dxa"/>
            <w:gridSpan w:val="2"/>
            <w:tcBorders>
              <w:top w:val="nil"/>
              <w:left w:val="nil"/>
              <w:bottom w:val="nil"/>
              <w:right w:val="nil"/>
            </w:tcBorders>
          </w:tcPr>
          <w:p w14:paraId="0E32774F" w14:textId="019A5D46" w:rsidR="00CD703D" w:rsidRPr="00922229" w:rsidRDefault="00CD703D" w:rsidP="00CD703D">
            <w:pPr>
              <w:spacing w:line="240" w:lineRule="auto"/>
              <w:rPr>
                <w:sz w:val="20"/>
                <w:szCs w:val="16"/>
              </w:rPr>
            </w:pPr>
            <w:r>
              <w:rPr>
                <w:sz w:val="20"/>
                <w:szCs w:val="16"/>
              </w:rPr>
              <w:t>2 Tahun</w:t>
            </w:r>
          </w:p>
        </w:tc>
        <w:tc>
          <w:tcPr>
            <w:tcW w:w="1502" w:type="dxa"/>
            <w:tcBorders>
              <w:top w:val="nil"/>
              <w:left w:val="nil"/>
              <w:bottom w:val="nil"/>
              <w:right w:val="nil"/>
            </w:tcBorders>
          </w:tcPr>
          <w:p w14:paraId="4117C34D" w14:textId="19F8F5DD" w:rsidR="00CD703D" w:rsidRPr="00922229" w:rsidRDefault="00CD703D" w:rsidP="00CD703D">
            <w:pPr>
              <w:spacing w:line="240" w:lineRule="auto"/>
              <w:jc w:val="center"/>
              <w:rPr>
                <w:sz w:val="20"/>
                <w:szCs w:val="16"/>
              </w:rPr>
            </w:pPr>
            <w:r>
              <w:rPr>
                <w:sz w:val="20"/>
                <w:szCs w:val="16"/>
              </w:rPr>
              <w:t>17.3</w:t>
            </w:r>
          </w:p>
        </w:tc>
      </w:tr>
      <w:tr w:rsidR="00CD703D" w:rsidRPr="00922229" w14:paraId="114AE333" w14:textId="77777777" w:rsidTr="001046E6">
        <w:trPr>
          <w:jc w:val="center"/>
        </w:trPr>
        <w:tc>
          <w:tcPr>
            <w:tcW w:w="1707" w:type="dxa"/>
            <w:tcBorders>
              <w:top w:val="nil"/>
              <w:left w:val="nil"/>
              <w:bottom w:val="nil"/>
              <w:right w:val="nil"/>
            </w:tcBorders>
          </w:tcPr>
          <w:p w14:paraId="0AA86C99" w14:textId="78515CC1" w:rsidR="00CD703D" w:rsidRPr="00922229" w:rsidRDefault="00CD703D" w:rsidP="00CD703D">
            <w:pPr>
              <w:spacing w:line="240" w:lineRule="auto"/>
              <w:rPr>
                <w:sz w:val="20"/>
                <w:szCs w:val="16"/>
              </w:rPr>
            </w:pPr>
            <w:r>
              <w:rPr>
                <w:sz w:val="20"/>
                <w:szCs w:val="16"/>
              </w:rPr>
              <w:t>50 &gt;</w:t>
            </w:r>
          </w:p>
        </w:tc>
        <w:tc>
          <w:tcPr>
            <w:tcW w:w="1530" w:type="dxa"/>
            <w:tcBorders>
              <w:top w:val="nil"/>
              <w:left w:val="nil"/>
              <w:bottom w:val="nil"/>
              <w:right w:val="nil"/>
            </w:tcBorders>
          </w:tcPr>
          <w:p w14:paraId="7A5AEE37" w14:textId="7156D5F5" w:rsidR="00CD703D" w:rsidRPr="00922229" w:rsidRDefault="00CD703D" w:rsidP="00CD703D">
            <w:pPr>
              <w:spacing w:line="240" w:lineRule="auto"/>
              <w:jc w:val="center"/>
              <w:rPr>
                <w:sz w:val="20"/>
                <w:szCs w:val="16"/>
              </w:rPr>
            </w:pPr>
            <w:r>
              <w:rPr>
                <w:sz w:val="20"/>
                <w:szCs w:val="16"/>
              </w:rPr>
              <w:t>13.6</w:t>
            </w:r>
          </w:p>
        </w:tc>
        <w:tc>
          <w:tcPr>
            <w:tcW w:w="1980" w:type="dxa"/>
            <w:gridSpan w:val="2"/>
            <w:tcBorders>
              <w:top w:val="nil"/>
              <w:left w:val="nil"/>
              <w:bottom w:val="nil"/>
              <w:right w:val="nil"/>
            </w:tcBorders>
          </w:tcPr>
          <w:p w14:paraId="0D719C82" w14:textId="7EFCD1EF" w:rsidR="00CD703D" w:rsidRPr="00922229" w:rsidRDefault="00CD703D" w:rsidP="00CD703D">
            <w:pPr>
              <w:spacing w:line="240" w:lineRule="auto"/>
              <w:rPr>
                <w:sz w:val="20"/>
                <w:szCs w:val="16"/>
              </w:rPr>
            </w:pPr>
            <w:r>
              <w:rPr>
                <w:sz w:val="20"/>
                <w:szCs w:val="16"/>
              </w:rPr>
              <w:t>Lebih dari 2 tahun</w:t>
            </w:r>
          </w:p>
        </w:tc>
        <w:tc>
          <w:tcPr>
            <w:tcW w:w="1502" w:type="dxa"/>
            <w:tcBorders>
              <w:top w:val="nil"/>
              <w:left w:val="nil"/>
              <w:bottom w:val="nil"/>
              <w:right w:val="nil"/>
            </w:tcBorders>
          </w:tcPr>
          <w:p w14:paraId="5A8DE9B0" w14:textId="440EC170" w:rsidR="00CD703D" w:rsidRPr="00922229" w:rsidRDefault="00CD703D" w:rsidP="00CD703D">
            <w:pPr>
              <w:spacing w:line="240" w:lineRule="auto"/>
              <w:jc w:val="center"/>
              <w:rPr>
                <w:sz w:val="20"/>
                <w:szCs w:val="16"/>
              </w:rPr>
            </w:pPr>
            <w:r>
              <w:rPr>
                <w:sz w:val="20"/>
                <w:szCs w:val="16"/>
              </w:rPr>
              <w:t>74.5</w:t>
            </w:r>
          </w:p>
        </w:tc>
      </w:tr>
      <w:tr w:rsidR="00CD703D" w:rsidRPr="00922229" w14:paraId="77A270CE" w14:textId="77777777" w:rsidTr="001046E6">
        <w:trPr>
          <w:jc w:val="center"/>
        </w:trPr>
        <w:tc>
          <w:tcPr>
            <w:tcW w:w="3246" w:type="dxa"/>
            <w:gridSpan w:val="3"/>
            <w:tcBorders>
              <w:top w:val="nil"/>
              <w:left w:val="nil"/>
              <w:bottom w:val="nil"/>
              <w:right w:val="nil"/>
            </w:tcBorders>
          </w:tcPr>
          <w:p w14:paraId="1C2C8123" w14:textId="2948D7DA" w:rsidR="00CD703D" w:rsidRPr="001B7405" w:rsidRDefault="00CD703D" w:rsidP="00CD703D">
            <w:pPr>
              <w:spacing w:line="240" w:lineRule="auto"/>
              <w:rPr>
                <w:b/>
                <w:bCs/>
                <w:sz w:val="20"/>
                <w:szCs w:val="16"/>
              </w:rPr>
            </w:pPr>
            <w:r w:rsidRPr="00324600">
              <w:rPr>
                <w:b/>
                <w:bCs/>
                <w:sz w:val="20"/>
                <w:szCs w:val="16"/>
              </w:rPr>
              <w:t>Level Pekerjaan</w:t>
            </w:r>
          </w:p>
        </w:tc>
        <w:tc>
          <w:tcPr>
            <w:tcW w:w="1971" w:type="dxa"/>
            <w:tcBorders>
              <w:top w:val="nil"/>
              <w:left w:val="nil"/>
              <w:bottom w:val="nil"/>
              <w:right w:val="nil"/>
            </w:tcBorders>
          </w:tcPr>
          <w:p w14:paraId="7262CE4A" w14:textId="2874CDB2" w:rsidR="00CD703D" w:rsidRDefault="00CD703D" w:rsidP="00CD703D">
            <w:pPr>
              <w:spacing w:line="240" w:lineRule="auto"/>
              <w:rPr>
                <w:sz w:val="20"/>
                <w:szCs w:val="16"/>
              </w:rPr>
            </w:pPr>
          </w:p>
        </w:tc>
        <w:tc>
          <w:tcPr>
            <w:tcW w:w="1502" w:type="dxa"/>
            <w:tcBorders>
              <w:top w:val="nil"/>
              <w:left w:val="nil"/>
              <w:bottom w:val="nil"/>
              <w:right w:val="nil"/>
            </w:tcBorders>
          </w:tcPr>
          <w:p w14:paraId="5390DE06" w14:textId="77777777" w:rsidR="00CD703D" w:rsidRPr="00922229" w:rsidRDefault="00CD703D" w:rsidP="00CD703D">
            <w:pPr>
              <w:spacing w:line="240" w:lineRule="auto"/>
              <w:rPr>
                <w:sz w:val="20"/>
                <w:szCs w:val="16"/>
              </w:rPr>
            </w:pPr>
          </w:p>
        </w:tc>
      </w:tr>
      <w:tr w:rsidR="00CD703D" w:rsidRPr="00922229" w14:paraId="4926B9FC" w14:textId="77777777" w:rsidTr="001046E6">
        <w:trPr>
          <w:jc w:val="center"/>
        </w:trPr>
        <w:tc>
          <w:tcPr>
            <w:tcW w:w="1707" w:type="dxa"/>
            <w:tcBorders>
              <w:top w:val="nil"/>
              <w:left w:val="nil"/>
              <w:bottom w:val="nil"/>
              <w:right w:val="nil"/>
            </w:tcBorders>
          </w:tcPr>
          <w:p w14:paraId="78A9BE5D" w14:textId="5497DE15" w:rsidR="00CD703D" w:rsidRDefault="00CD703D" w:rsidP="00CD703D">
            <w:pPr>
              <w:spacing w:line="240" w:lineRule="auto"/>
              <w:rPr>
                <w:sz w:val="20"/>
                <w:szCs w:val="16"/>
              </w:rPr>
            </w:pPr>
            <w:r>
              <w:rPr>
                <w:sz w:val="20"/>
                <w:szCs w:val="16"/>
              </w:rPr>
              <w:t>Sekolah</w:t>
            </w:r>
          </w:p>
        </w:tc>
        <w:tc>
          <w:tcPr>
            <w:tcW w:w="1530" w:type="dxa"/>
            <w:tcBorders>
              <w:top w:val="nil"/>
              <w:left w:val="nil"/>
              <w:bottom w:val="nil"/>
              <w:right w:val="nil"/>
            </w:tcBorders>
          </w:tcPr>
          <w:p w14:paraId="22F8F7B7" w14:textId="25B60370" w:rsidR="00CD703D" w:rsidRPr="00922229" w:rsidRDefault="00480267" w:rsidP="00CD703D">
            <w:pPr>
              <w:spacing w:line="240" w:lineRule="auto"/>
              <w:jc w:val="center"/>
              <w:rPr>
                <w:sz w:val="20"/>
                <w:szCs w:val="16"/>
              </w:rPr>
            </w:pPr>
            <w:r>
              <w:rPr>
                <w:sz w:val="20"/>
                <w:szCs w:val="16"/>
              </w:rPr>
              <w:t>24.7</w:t>
            </w:r>
          </w:p>
        </w:tc>
        <w:tc>
          <w:tcPr>
            <w:tcW w:w="1980" w:type="dxa"/>
            <w:gridSpan w:val="2"/>
            <w:tcBorders>
              <w:top w:val="nil"/>
              <w:left w:val="nil"/>
              <w:bottom w:val="nil"/>
              <w:right w:val="nil"/>
            </w:tcBorders>
          </w:tcPr>
          <w:p w14:paraId="4443D9C2" w14:textId="2403EB6D" w:rsidR="00CD703D" w:rsidRDefault="00CD703D" w:rsidP="00CD703D">
            <w:pPr>
              <w:spacing w:line="240" w:lineRule="auto"/>
              <w:rPr>
                <w:sz w:val="20"/>
                <w:szCs w:val="16"/>
              </w:rPr>
            </w:pPr>
          </w:p>
        </w:tc>
        <w:tc>
          <w:tcPr>
            <w:tcW w:w="1502" w:type="dxa"/>
            <w:tcBorders>
              <w:top w:val="nil"/>
              <w:left w:val="nil"/>
              <w:bottom w:val="nil"/>
              <w:right w:val="nil"/>
            </w:tcBorders>
          </w:tcPr>
          <w:p w14:paraId="7A05BCBE" w14:textId="77777777" w:rsidR="00CD703D" w:rsidRPr="00922229" w:rsidRDefault="00CD703D" w:rsidP="00CD703D">
            <w:pPr>
              <w:spacing w:line="240" w:lineRule="auto"/>
              <w:rPr>
                <w:sz w:val="20"/>
                <w:szCs w:val="16"/>
              </w:rPr>
            </w:pPr>
          </w:p>
        </w:tc>
      </w:tr>
      <w:tr w:rsidR="00CD703D" w:rsidRPr="00922229" w14:paraId="0A428B47" w14:textId="77777777" w:rsidTr="001046E6">
        <w:trPr>
          <w:jc w:val="center"/>
        </w:trPr>
        <w:tc>
          <w:tcPr>
            <w:tcW w:w="1707" w:type="dxa"/>
            <w:tcBorders>
              <w:top w:val="nil"/>
              <w:left w:val="nil"/>
              <w:bottom w:val="nil"/>
              <w:right w:val="nil"/>
            </w:tcBorders>
          </w:tcPr>
          <w:p w14:paraId="401B7EF5" w14:textId="612FA11F" w:rsidR="00CD703D" w:rsidRDefault="00CD703D" w:rsidP="00CD703D">
            <w:pPr>
              <w:spacing w:line="240" w:lineRule="auto"/>
              <w:rPr>
                <w:sz w:val="20"/>
                <w:szCs w:val="16"/>
              </w:rPr>
            </w:pPr>
            <w:r>
              <w:rPr>
                <w:sz w:val="20"/>
                <w:szCs w:val="16"/>
              </w:rPr>
              <w:t>Bekerja</w:t>
            </w:r>
          </w:p>
        </w:tc>
        <w:tc>
          <w:tcPr>
            <w:tcW w:w="1530" w:type="dxa"/>
            <w:tcBorders>
              <w:top w:val="nil"/>
              <w:left w:val="nil"/>
              <w:bottom w:val="nil"/>
              <w:right w:val="nil"/>
            </w:tcBorders>
          </w:tcPr>
          <w:p w14:paraId="79E2442F" w14:textId="55223EFF" w:rsidR="00CD703D" w:rsidRPr="00922229" w:rsidRDefault="009E1D43" w:rsidP="00CD703D">
            <w:pPr>
              <w:spacing w:line="240" w:lineRule="auto"/>
              <w:jc w:val="center"/>
              <w:rPr>
                <w:sz w:val="20"/>
                <w:szCs w:val="16"/>
              </w:rPr>
            </w:pPr>
            <w:r>
              <w:rPr>
                <w:sz w:val="20"/>
                <w:szCs w:val="16"/>
              </w:rPr>
              <w:t>67.8</w:t>
            </w:r>
          </w:p>
        </w:tc>
        <w:tc>
          <w:tcPr>
            <w:tcW w:w="1980" w:type="dxa"/>
            <w:gridSpan w:val="2"/>
            <w:tcBorders>
              <w:top w:val="nil"/>
              <w:left w:val="nil"/>
              <w:bottom w:val="nil"/>
              <w:right w:val="nil"/>
            </w:tcBorders>
          </w:tcPr>
          <w:p w14:paraId="785EAE57" w14:textId="456B6C32" w:rsidR="00CD703D" w:rsidRDefault="00CD703D" w:rsidP="00CD703D">
            <w:pPr>
              <w:spacing w:line="240" w:lineRule="auto"/>
              <w:rPr>
                <w:sz w:val="20"/>
                <w:szCs w:val="16"/>
              </w:rPr>
            </w:pPr>
          </w:p>
        </w:tc>
        <w:tc>
          <w:tcPr>
            <w:tcW w:w="1502" w:type="dxa"/>
            <w:tcBorders>
              <w:top w:val="nil"/>
              <w:left w:val="nil"/>
              <w:bottom w:val="nil"/>
              <w:right w:val="nil"/>
            </w:tcBorders>
          </w:tcPr>
          <w:p w14:paraId="635335C4" w14:textId="77777777" w:rsidR="00CD703D" w:rsidRPr="00922229" w:rsidRDefault="00CD703D" w:rsidP="00CD703D">
            <w:pPr>
              <w:spacing w:line="240" w:lineRule="auto"/>
              <w:rPr>
                <w:sz w:val="20"/>
                <w:szCs w:val="16"/>
              </w:rPr>
            </w:pPr>
          </w:p>
        </w:tc>
      </w:tr>
      <w:tr w:rsidR="00CD703D" w:rsidRPr="00922229" w14:paraId="6E78C038" w14:textId="77777777" w:rsidTr="001046E6">
        <w:trPr>
          <w:jc w:val="center"/>
        </w:trPr>
        <w:tc>
          <w:tcPr>
            <w:tcW w:w="1707" w:type="dxa"/>
            <w:tcBorders>
              <w:top w:val="nil"/>
              <w:left w:val="nil"/>
              <w:right w:val="nil"/>
            </w:tcBorders>
          </w:tcPr>
          <w:p w14:paraId="3FD32AE4" w14:textId="217D9E85" w:rsidR="00CD703D" w:rsidRDefault="00480267" w:rsidP="00CD703D">
            <w:pPr>
              <w:spacing w:line="240" w:lineRule="auto"/>
              <w:rPr>
                <w:sz w:val="20"/>
                <w:szCs w:val="16"/>
              </w:rPr>
            </w:pPr>
            <w:r>
              <w:rPr>
                <w:sz w:val="20"/>
                <w:szCs w:val="16"/>
              </w:rPr>
              <w:t>Belum Bekerja</w:t>
            </w:r>
          </w:p>
        </w:tc>
        <w:tc>
          <w:tcPr>
            <w:tcW w:w="1530" w:type="dxa"/>
            <w:tcBorders>
              <w:top w:val="nil"/>
              <w:left w:val="nil"/>
              <w:right w:val="nil"/>
            </w:tcBorders>
          </w:tcPr>
          <w:p w14:paraId="23213330" w14:textId="747740F0" w:rsidR="00CD703D" w:rsidRPr="00922229" w:rsidRDefault="00480267" w:rsidP="00CD703D">
            <w:pPr>
              <w:spacing w:line="240" w:lineRule="auto"/>
              <w:jc w:val="center"/>
              <w:rPr>
                <w:sz w:val="20"/>
                <w:szCs w:val="16"/>
              </w:rPr>
            </w:pPr>
            <w:r>
              <w:rPr>
                <w:sz w:val="20"/>
                <w:szCs w:val="16"/>
              </w:rPr>
              <w:t>7.5</w:t>
            </w:r>
          </w:p>
        </w:tc>
        <w:tc>
          <w:tcPr>
            <w:tcW w:w="3482" w:type="dxa"/>
            <w:gridSpan w:val="3"/>
            <w:tcBorders>
              <w:top w:val="nil"/>
              <w:left w:val="nil"/>
              <w:right w:val="nil"/>
            </w:tcBorders>
          </w:tcPr>
          <w:p w14:paraId="0D32BC91" w14:textId="201BA29A" w:rsidR="00CD703D" w:rsidRPr="00922229" w:rsidRDefault="00CD703D" w:rsidP="00CD703D">
            <w:pPr>
              <w:spacing w:line="240" w:lineRule="auto"/>
              <w:rPr>
                <w:sz w:val="20"/>
                <w:szCs w:val="16"/>
              </w:rPr>
            </w:pPr>
          </w:p>
        </w:tc>
      </w:tr>
    </w:tbl>
    <w:p w14:paraId="3FFF0FD2" w14:textId="372775C1" w:rsidR="00003CB7" w:rsidRDefault="00003CB7" w:rsidP="009F002F"/>
    <w:p w14:paraId="5EA8F032" w14:textId="77777777" w:rsidR="008967D9" w:rsidRDefault="0050556E" w:rsidP="0050556E">
      <w:pPr>
        <w:pStyle w:val="Heading2"/>
      </w:pPr>
      <w:r>
        <w:t>3.2. Intrumen Penelitian</w:t>
      </w:r>
    </w:p>
    <w:p w14:paraId="1213944B" w14:textId="7B495A1A" w:rsidR="00435A88" w:rsidRPr="00EC40B5" w:rsidRDefault="0050556E" w:rsidP="004344AF">
      <w:pPr>
        <w:rPr>
          <w:lang w:val="en-US"/>
        </w:rPr>
      </w:pPr>
      <w:r w:rsidRPr="006A6ABC">
        <w:t xml:space="preserve">Kontruksi yang digunakan untuk mengukur hubungan dari setiap variabel pada penelitian ini adalah : </w:t>
      </w:r>
      <w:r w:rsidR="00304517" w:rsidRPr="006A6ABC">
        <w:t>tren</w:t>
      </w:r>
      <w:r w:rsidR="00304517" w:rsidRPr="006A6ABC">
        <w:rPr>
          <w:lang w:val="en-US"/>
        </w:rPr>
        <w:t xml:space="preserve"> belanja</w:t>
      </w:r>
      <w:r w:rsidR="00713DD0">
        <w:rPr>
          <w:lang w:val="en-US"/>
        </w:rPr>
        <w:t xml:space="preserve"> online</w:t>
      </w:r>
      <w:r w:rsidR="00304517" w:rsidRPr="006A6ABC">
        <w:t>, gaya hidup</w:t>
      </w:r>
      <w:r w:rsidR="00304517" w:rsidRPr="006A6ABC">
        <w:rPr>
          <w:lang w:val="en-US"/>
        </w:rPr>
        <w:t xml:space="preserve">, price dispersion, e-tax </w:t>
      </w:r>
      <w:r w:rsidR="00304517" w:rsidRPr="006A6ABC">
        <w:t xml:space="preserve"> dan </w:t>
      </w:r>
      <w:r w:rsidR="002A47F9" w:rsidRPr="006A6ABC">
        <w:rPr>
          <w:lang w:val="en-US"/>
        </w:rPr>
        <w:t>transaksi</w:t>
      </w:r>
      <w:r w:rsidR="00304517" w:rsidRPr="006A6ABC">
        <w:rPr>
          <w:lang w:val="en-US"/>
        </w:rPr>
        <w:t xml:space="preserve"> </w:t>
      </w:r>
      <w:r w:rsidR="00304517" w:rsidRPr="006A6ABC">
        <w:t>online</w:t>
      </w:r>
      <w:r w:rsidR="00220DB2">
        <w:rPr>
          <w:lang w:val="en-US"/>
        </w:rPr>
        <w:t xml:space="preserve"> (lihat lampiran A)</w:t>
      </w:r>
      <w:r w:rsidR="00733413" w:rsidRPr="006A6ABC">
        <w:t xml:space="preserve">. Kontruk awal </w:t>
      </w:r>
      <w:r w:rsidR="00304517" w:rsidRPr="006A6ABC">
        <w:rPr>
          <w:lang w:val="en-US"/>
        </w:rPr>
        <w:t xml:space="preserve">dari perilaku invidu terhadap </w:t>
      </w:r>
      <w:r w:rsidR="002A47F9" w:rsidRPr="006A6ABC">
        <w:rPr>
          <w:lang w:val="en-US"/>
        </w:rPr>
        <w:t>transaksi</w:t>
      </w:r>
      <w:r w:rsidR="00304517" w:rsidRPr="006A6ABC">
        <w:rPr>
          <w:lang w:val="en-US"/>
        </w:rPr>
        <w:t xml:space="preserve"> online, mela</w:t>
      </w:r>
      <w:r w:rsidR="008B67DB" w:rsidRPr="006A6ABC">
        <w:rPr>
          <w:lang w:val="en-US"/>
        </w:rPr>
        <w:t>l</w:t>
      </w:r>
      <w:r w:rsidR="00304517" w:rsidRPr="006A6ABC">
        <w:rPr>
          <w:lang w:val="en-US"/>
        </w:rPr>
        <w:t xml:space="preserve">ui variabel tren belanja </w:t>
      </w:r>
      <w:r w:rsidR="002A47F9" w:rsidRPr="006A6ABC">
        <w:rPr>
          <w:lang w:val="en-US"/>
        </w:rPr>
        <w:t xml:space="preserve">online </w:t>
      </w:r>
      <w:r w:rsidR="00304517" w:rsidRPr="006A6ABC">
        <w:rPr>
          <w:lang w:val="en-US"/>
        </w:rPr>
        <w:t xml:space="preserve">berjumlah </w:t>
      </w:r>
      <w:r w:rsidR="002A47F9" w:rsidRPr="006A6ABC">
        <w:rPr>
          <w:lang w:val="en-US"/>
        </w:rPr>
        <w:t xml:space="preserve">4 </w:t>
      </w:r>
      <w:r w:rsidR="00304517" w:rsidRPr="006A6ABC">
        <w:rPr>
          <w:lang w:val="en-US"/>
        </w:rPr>
        <w:t xml:space="preserve">pertanyaan, </w:t>
      </w:r>
      <w:r w:rsidR="00ED6B77" w:rsidRPr="006A6ABC">
        <w:t xml:space="preserve">gaya hidup berjumlah </w:t>
      </w:r>
      <w:r w:rsidR="002A47F9" w:rsidRPr="006A6ABC">
        <w:rPr>
          <w:lang w:val="en-US"/>
        </w:rPr>
        <w:t xml:space="preserve">4 </w:t>
      </w:r>
      <w:r w:rsidR="00ED6B77" w:rsidRPr="006A6ABC">
        <w:t>pertanyaan</w:t>
      </w:r>
      <w:r w:rsidR="007A52FF" w:rsidRPr="006A6ABC">
        <w:rPr>
          <w:lang w:val="en-US"/>
        </w:rPr>
        <w:t xml:space="preserve"> dan price dispersion berjumlah </w:t>
      </w:r>
      <w:r w:rsidR="00D707AC" w:rsidRPr="006A6ABC">
        <w:rPr>
          <w:lang w:val="en-US"/>
        </w:rPr>
        <w:t xml:space="preserve">4 </w:t>
      </w:r>
      <w:r w:rsidR="007A52FF" w:rsidRPr="006A6ABC">
        <w:rPr>
          <w:lang w:val="en-US"/>
        </w:rPr>
        <w:t>pertanyaan</w:t>
      </w:r>
      <w:r w:rsidR="00E15812">
        <w:rPr>
          <w:lang w:val="en-US"/>
        </w:rPr>
        <w:t xml:space="preserve"> </w:t>
      </w:r>
      <w:r w:rsidR="00E15812" w:rsidRPr="006A6ABC">
        <w:rPr>
          <w:lang w:val="en-US"/>
        </w:rPr>
        <w:t>dan pertanyaan tentang transaksi online sebanyak 4 pertanyaan</w:t>
      </w:r>
      <w:r w:rsidR="007A52FF" w:rsidRPr="006A6ABC">
        <w:rPr>
          <w:lang w:val="en-US"/>
        </w:rPr>
        <w:t>. Selanjutnya, pe</w:t>
      </w:r>
      <w:r w:rsidR="00E15812">
        <w:rPr>
          <w:lang w:val="en-US"/>
        </w:rPr>
        <w:t>r</w:t>
      </w:r>
      <w:r w:rsidR="007A52FF" w:rsidRPr="006A6ABC">
        <w:rPr>
          <w:lang w:val="en-US"/>
        </w:rPr>
        <w:t xml:space="preserve">tanyaan tentang </w:t>
      </w:r>
      <w:r w:rsidR="00E15812">
        <w:rPr>
          <w:lang w:val="en-US"/>
        </w:rPr>
        <w:t>medias</w:t>
      </w:r>
      <w:r w:rsidR="002850DA">
        <w:rPr>
          <w:lang w:val="en-US"/>
        </w:rPr>
        <w:t>i dari</w:t>
      </w:r>
      <w:r w:rsidR="00E15812">
        <w:rPr>
          <w:lang w:val="en-US"/>
        </w:rPr>
        <w:t xml:space="preserve"> </w:t>
      </w:r>
      <w:r w:rsidR="007A52FF" w:rsidRPr="006A6ABC">
        <w:rPr>
          <w:lang w:val="en-US"/>
        </w:rPr>
        <w:t xml:space="preserve">e-tax berjumlah </w:t>
      </w:r>
      <w:r w:rsidR="00D707AC" w:rsidRPr="006A6ABC">
        <w:rPr>
          <w:lang w:val="en-US"/>
        </w:rPr>
        <w:t xml:space="preserve">5 </w:t>
      </w:r>
      <w:r w:rsidR="007A52FF" w:rsidRPr="006A6ABC">
        <w:rPr>
          <w:lang w:val="en-US"/>
        </w:rPr>
        <w:t>pertanyaan</w:t>
      </w:r>
      <w:r w:rsidR="00ED6B77" w:rsidRPr="006A6ABC">
        <w:t>. Setiap item di ukur dengan menggunakan skala sikap linkert</w:t>
      </w:r>
      <w:r w:rsidR="00EC40B5" w:rsidRPr="006A6ABC">
        <w:rPr>
          <w:lang w:val="en-US"/>
        </w:rPr>
        <w:t xml:space="preserve"> dan dimulai dengan angka 5 yang dikaitkan dengan “</w:t>
      </w:r>
      <w:r w:rsidR="00276526">
        <w:rPr>
          <w:lang w:val="en-US"/>
        </w:rPr>
        <w:t>sangat setuju</w:t>
      </w:r>
      <w:r w:rsidR="00EC40B5" w:rsidRPr="006A6ABC">
        <w:rPr>
          <w:lang w:val="en-US"/>
        </w:rPr>
        <w:t xml:space="preserve">“ dan </w:t>
      </w:r>
      <w:r w:rsidR="00A226B7" w:rsidRPr="006A6ABC">
        <w:rPr>
          <w:lang w:val="en-US"/>
        </w:rPr>
        <w:t>angka 1 diartikan sebagai “</w:t>
      </w:r>
      <w:r w:rsidR="00276526">
        <w:rPr>
          <w:lang w:val="en-US"/>
        </w:rPr>
        <w:t>sangat tidak setuju</w:t>
      </w:r>
      <w:r w:rsidR="00A226B7" w:rsidRPr="006A6ABC">
        <w:rPr>
          <w:lang w:val="en-US"/>
        </w:rPr>
        <w:t xml:space="preserve">:. Proses validitas </w:t>
      </w:r>
      <w:r w:rsidR="008360FB" w:rsidRPr="006A6ABC">
        <w:rPr>
          <w:lang w:val="en-US"/>
        </w:rPr>
        <w:t xml:space="preserve">pada setiap instrument dan panel yang </w:t>
      </w:r>
      <w:r w:rsidR="00D707AC" w:rsidRPr="006A6ABC">
        <w:rPr>
          <w:lang w:val="en-US"/>
        </w:rPr>
        <w:t xml:space="preserve">digunakan </w:t>
      </w:r>
      <w:r w:rsidR="008360FB" w:rsidRPr="006A6ABC">
        <w:rPr>
          <w:lang w:val="en-US"/>
        </w:rPr>
        <w:t xml:space="preserve">merujuk kepada </w:t>
      </w:r>
      <w:r w:rsidR="00754AE8" w:rsidRPr="006A6ABC">
        <w:rPr>
          <w:lang w:val="en-US"/>
        </w:rPr>
        <w:t>pustaka dan pengalaman peneliti saat ini</w:t>
      </w:r>
      <w:r w:rsidR="007F046D">
        <w:rPr>
          <w:lang w:val="en-US"/>
        </w:rPr>
        <w:t>.</w:t>
      </w:r>
    </w:p>
    <w:p w14:paraId="142CCAD4" w14:textId="77777777" w:rsidR="00ED6B77" w:rsidRDefault="00675559" w:rsidP="00675559">
      <w:pPr>
        <w:pStyle w:val="Heading1"/>
      </w:pPr>
      <w:r>
        <w:t>4. Hasil</w:t>
      </w:r>
    </w:p>
    <w:p w14:paraId="75F4A5CC" w14:textId="02318D97" w:rsidR="0065577E" w:rsidRPr="0065577E" w:rsidRDefault="0065577E" w:rsidP="004344AF">
      <w:pPr>
        <w:rPr>
          <w:highlight w:val="cyan"/>
          <w:lang w:val="en-US"/>
        </w:rPr>
      </w:pPr>
      <w:r w:rsidRPr="00642DB2">
        <w:rPr>
          <w:lang w:val="en-US"/>
        </w:rPr>
        <w:t>Analisis data dengan menggunakan PLS-SEM disarankan kepada data</w:t>
      </w:r>
      <w:r w:rsidRPr="0065577E">
        <w:rPr>
          <w:lang w:val="en-US"/>
        </w:rPr>
        <w:t xml:space="preserve"> normal dan memiliki sedikit asumsi terbatas tentang data</w:t>
      </w:r>
      <w:r w:rsidR="005E0ACA">
        <w:rPr>
          <w:lang w:val="en-US"/>
        </w:rPr>
        <w:t xml:space="preserve"> (</w:t>
      </w:r>
      <w:r w:rsidR="00512369">
        <w:rPr>
          <w:color w:val="00B0F0"/>
          <w:lang w:val="en-US"/>
        </w:rPr>
        <w:t>Hair, et al. 2019</w:t>
      </w:r>
      <w:r w:rsidR="005E0ACA">
        <w:rPr>
          <w:lang w:val="en-US"/>
        </w:rPr>
        <w:t>)</w:t>
      </w:r>
      <w:r>
        <w:rPr>
          <w:lang w:val="en-US"/>
        </w:rPr>
        <w:t>.</w:t>
      </w:r>
      <w:r w:rsidR="001B24ED">
        <w:rPr>
          <w:lang w:val="en-US"/>
        </w:rPr>
        <w:t xml:space="preserve"> </w:t>
      </w:r>
      <w:r w:rsidR="005E0ACA">
        <w:rPr>
          <w:lang w:val="en-US"/>
        </w:rPr>
        <w:t xml:space="preserve">Untuk mendukung nilai estimasi </w:t>
      </w:r>
      <w:r w:rsidR="00642DB2">
        <w:rPr>
          <w:lang w:val="en-US"/>
        </w:rPr>
        <w:t xml:space="preserve">yang kuat, </w:t>
      </w:r>
      <w:r w:rsidR="00C557DA">
        <w:rPr>
          <w:lang w:val="en-US"/>
        </w:rPr>
        <w:t xml:space="preserve">ketentuan </w:t>
      </w:r>
      <w:r w:rsidR="00642DB2">
        <w:rPr>
          <w:lang w:val="en-US"/>
        </w:rPr>
        <w:t>ukuran sampel minimun harus sama jumlahnya dengan 10 kali jumlah jalur structural yang diusulkan pada konstruksi laten (</w:t>
      </w:r>
      <w:r w:rsidR="00642DB2" w:rsidRPr="007B4EEE">
        <w:rPr>
          <w:color w:val="00B0F0"/>
          <w:lang w:val="en-US"/>
        </w:rPr>
        <w:t>Hair, et al. 2014</w:t>
      </w:r>
      <w:r w:rsidR="00642DB2">
        <w:rPr>
          <w:lang w:val="en-US"/>
        </w:rPr>
        <w:t xml:space="preserve">). Dengan jumlah ukuran sampel dua ratus tujuh puluh </w:t>
      </w:r>
      <w:r w:rsidR="009B2235">
        <w:rPr>
          <w:lang w:val="en-US"/>
        </w:rPr>
        <w:t>s</w:t>
      </w:r>
      <w:r w:rsidR="00642DB2">
        <w:rPr>
          <w:lang w:val="en-US"/>
        </w:rPr>
        <w:t>embilan adalah cukup untuk syarat PLS-SEM.</w:t>
      </w:r>
    </w:p>
    <w:p w14:paraId="34860CE0" w14:textId="198BC56F" w:rsidR="00BF5382" w:rsidRDefault="00BF5382" w:rsidP="00D43FF4">
      <w:pPr>
        <w:pStyle w:val="Heading2"/>
      </w:pPr>
      <w:r>
        <w:t xml:space="preserve">4.1. </w:t>
      </w:r>
      <w:r w:rsidR="00F55FAB" w:rsidRPr="00F55FAB">
        <w:t xml:space="preserve">Hasil </w:t>
      </w:r>
      <w:r w:rsidR="00CE46E5" w:rsidRPr="00F55FAB">
        <w:t>Model Pengukuran</w:t>
      </w:r>
    </w:p>
    <w:p w14:paraId="63B7BD96" w14:textId="3F96A4CE" w:rsidR="00F55FAB" w:rsidRDefault="00F55FAB" w:rsidP="004344AF">
      <w:r>
        <w:rPr>
          <w:lang w:val="en-US"/>
        </w:rPr>
        <w:t>Melihat hasil dari CFA</w:t>
      </w:r>
      <w:r w:rsidR="00031E75">
        <w:rPr>
          <w:lang w:val="en-US"/>
        </w:rPr>
        <w:t xml:space="preserve"> </w:t>
      </w:r>
      <w:r>
        <w:rPr>
          <w:lang w:val="en-US"/>
        </w:rPr>
        <w:t xml:space="preserve">untuk memvalidasi </w:t>
      </w:r>
      <w:r w:rsidRPr="00FF0AFA">
        <w:rPr>
          <w:lang w:val="en-US"/>
        </w:rPr>
        <w:t xml:space="preserve">dimensi dan item </w:t>
      </w:r>
      <w:r>
        <w:rPr>
          <w:lang w:val="en-US"/>
        </w:rPr>
        <w:t xml:space="preserve">pada nilai </w:t>
      </w:r>
      <w:r w:rsidRPr="00FF0AFA">
        <w:rPr>
          <w:lang w:val="en-US"/>
        </w:rPr>
        <w:t>pemuatan faktor lebih rendah dari 0,7</w:t>
      </w:r>
      <w:r>
        <w:rPr>
          <w:lang w:val="en-US"/>
        </w:rPr>
        <w:t xml:space="preserve"> (</w:t>
      </w:r>
      <w:r w:rsidR="005968F7">
        <w:rPr>
          <w:color w:val="00B0F0"/>
          <w:lang w:val="en-US"/>
        </w:rPr>
        <w:t>Kim, 2007</w:t>
      </w:r>
      <w:r>
        <w:rPr>
          <w:lang w:val="en-US"/>
        </w:rPr>
        <w:t>)</w:t>
      </w:r>
      <w:r w:rsidR="00031E75">
        <w:rPr>
          <w:lang w:val="en-US"/>
        </w:rPr>
        <w:t>. M</w:t>
      </w:r>
      <w:r>
        <w:rPr>
          <w:lang w:val="en-US"/>
        </w:rPr>
        <w:t xml:space="preserve">enghapus item tersebut </w:t>
      </w:r>
      <w:r w:rsidR="00031E75">
        <w:rPr>
          <w:lang w:val="en-US"/>
        </w:rPr>
        <w:t xml:space="preserve">dilakukan </w:t>
      </w:r>
      <w:r w:rsidRPr="00FF0AFA">
        <w:rPr>
          <w:lang w:val="en-US"/>
        </w:rPr>
        <w:t xml:space="preserve">untuk memastikan </w:t>
      </w:r>
      <w:r>
        <w:rPr>
          <w:lang w:val="en-US"/>
        </w:rPr>
        <w:t xml:space="preserve">adanya </w:t>
      </w:r>
      <w:r w:rsidRPr="00FF0AFA">
        <w:rPr>
          <w:lang w:val="en-US"/>
        </w:rPr>
        <w:t xml:space="preserve">hubungan yang erat antara item yang diukur dan </w:t>
      </w:r>
      <w:r>
        <w:rPr>
          <w:lang w:val="en-US"/>
        </w:rPr>
        <w:t xml:space="preserve">menunjukkan </w:t>
      </w:r>
      <w:r w:rsidRPr="00FF0AFA">
        <w:rPr>
          <w:lang w:val="en-US"/>
        </w:rPr>
        <w:t>konstruksi yang sesuai</w:t>
      </w:r>
      <w:r>
        <w:rPr>
          <w:lang w:val="en-US"/>
        </w:rPr>
        <w:t xml:space="preserve"> (</w:t>
      </w:r>
      <w:r w:rsidR="009A2457">
        <w:rPr>
          <w:color w:val="00B0F0"/>
          <w:lang w:val="en-US"/>
        </w:rPr>
        <w:t>Fornel &amp; Larker (1981)</w:t>
      </w:r>
      <w:r>
        <w:rPr>
          <w:lang w:val="en-US"/>
        </w:rPr>
        <w:t>).</w:t>
      </w:r>
      <w:r w:rsidR="00B24F74">
        <w:rPr>
          <w:lang w:val="en-US"/>
        </w:rPr>
        <w:t xml:space="preserve"> Tabel 2 menunjukkan nilai </w:t>
      </w:r>
      <w:r w:rsidR="00E52B52">
        <w:rPr>
          <w:lang w:val="en-US"/>
        </w:rPr>
        <w:t>mod</w:t>
      </w:r>
      <w:r w:rsidR="00371D21">
        <w:rPr>
          <w:lang w:val="en-US"/>
        </w:rPr>
        <w:t>i</w:t>
      </w:r>
      <w:r w:rsidR="00E52B52">
        <w:rPr>
          <w:lang w:val="en-US"/>
        </w:rPr>
        <w:t>fikasi hasil pengukuran indikator model. Secara rinci</w:t>
      </w:r>
      <w:r w:rsidR="00E319F3">
        <w:rPr>
          <w:lang w:val="en-US"/>
        </w:rPr>
        <w:t xml:space="preserve">, </w:t>
      </w:r>
      <w:r w:rsidR="001F1557">
        <w:rPr>
          <w:lang w:val="en-US"/>
        </w:rPr>
        <w:t xml:space="preserve">nilai variabel laten yang tidak sesuai </w:t>
      </w:r>
      <w:r w:rsidR="00E319F3">
        <w:rPr>
          <w:lang w:val="en-US"/>
        </w:rPr>
        <w:t xml:space="preserve">telah </w:t>
      </w:r>
      <w:r w:rsidR="001F1557">
        <w:rPr>
          <w:lang w:val="en-US"/>
        </w:rPr>
        <w:t xml:space="preserve">dihapus dan tidak dilanjutkan </w:t>
      </w:r>
      <w:r w:rsidR="00E319F3">
        <w:rPr>
          <w:lang w:val="en-US"/>
        </w:rPr>
        <w:t xml:space="preserve">untuk </w:t>
      </w:r>
      <w:r w:rsidR="001F1557">
        <w:t>tahapan analisis selanjutnya</w:t>
      </w:r>
      <w:r w:rsidR="001F1557">
        <w:rPr>
          <w:lang w:val="en-US"/>
        </w:rPr>
        <w:t xml:space="preserve"> yaitu : PD (</w:t>
      </w:r>
      <w:r w:rsidR="004068E6">
        <w:rPr>
          <w:lang w:val="en-US"/>
        </w:rPr>
        <w:t>1</w:t>
      </w:r>
      <w:r w:rsidR="001F1557">
        <w:rPr>
          <w:lang w:val="en-US"/>
        </w:rPr>
        <w:t xml:space="preserve">, </w:t>
      </w:r>
      <w:r w:rsidR="004068E6">
        <w:rPr>
          <w:lang w:val="en-US"/>
        </w:rPr>
        <w:t>3</w:t>
      </w:r>
      <w:r w:rsidR="001F1557">
        <w:rPr>
          <w:lang w:val="en-US"/>
        </w:rPr>
        <w:t xml:space="preserve">), </w:t>
      </w:r>
      <w:r w:rsidR="00C1466C">
        <w:rPr>
          <w:lang w:val="en-US"/>
        </w:rPr>
        <w:t xml:space="preserve">dan </w:t>
      </w:r>
      <w:r w:rsidR="001F1557">
        <w:rPr>
          <w:lang w:val="en-US"/>
        </w:rPr>
        <w:t>ET 5.</w:t>
      </w:r>
      <w:r w:rsidR="00161470">
        <w:rPr>
          <w:lang w:val="en-US"/>
        </w:rPr>
        <w:t xml:space="preserve"> Nilai </w:t>
      </w:r>
      <w:r w:rsidR="00161470" w:rsidRPr="00161470">
        <w:rPr>
          <w:lang w:val="en-US"/>
        </w:rPr>
        <w:t xml:space="preserve">alfa Cronbach (α) dan keandalan komposit (CR) </w:t>
      </w:r>
      <w:r w:rsidR="00161470">
        <w:rPr>
          <w:lang w:val="en-US"/>
        </w:rPr>
        <w:t>menunjukkan angka &gt;</w:t>
      </w:r>
      <w:r w:rsidR="00A530FB">
        <w:rPr>
          <w:lang w:val="en-US"/>
        </w:rPr>
        <w:t xml:space="preserve"> </w:t>
      </w:r>
      <w:r w:rsidR="00161470" w:rsidRPr="00161470">
        <w:rPr>
          <w:lang w:val="en-US"/>
        </w:rPr>
        <w:t>0,7</w:t>
      </w:r>
      <w:r w:rsidR="00753BB5">
        <w:rPr>
          <w:lang w:val="en-US"/>
        </w:rPr>
        <w:t xml:space="preserve">, yang hasilnya </w:t>
      </w:r>
      <w:r w:rsidR="00161470">
        <w:rPr>
          <w:lang w:val="en-US"/>
        </w:rPr>
        <w:t xml:space="preserve">menunjukkan keandalan </w:t>
      </w:r>
      <w:r w:rsidR="00161470">
        <w:rPr>
          <w:lang w:val="en-US"/>
        </w:rPr>
        <w:lastRenderedPageBreak/>
        <w:t>nilai muatan yang sesuai (</w:t>
      </w:r>
      <w:r w:rsidR="00E217D5" w:rsidRPr="00AF1939">
        <w:rPr>
          <w:color w:val="00B0F0"/>
        </w:rPr>
        <w:t>Garthwaite, 1994</w:t>
      </w:r>
      <w:r w:rsidR="00161470">
        <w:rPr>
          <w:lang w:val="en-US"/>
        </w:rPr>
        <w:t>). Selain itu nilai n</w:t>
      </w:r>
      <w:r w:rsidR="00161470" w:rsidRPr="00161470">
        <w:rPr>
          <w:lang w:val="en-US"/>
        </w:rPr>
        <w:t xml:space="preserve">ilai rata-rata varians diekstraksi </w:t>
      </w:r>
      <w:r w:rsidR="00161470">
        <w:rPr>
          <w:lang w:val="en-US"/>
        </w:rPr>
        <w:t>(AVE) berada pada angka &gt;</w:t>
      </w:r>
      <w:r w:rsidR="00A530FB">
        <w:rPr>
          <w:lang w:val="en-US"/>
        </w:rPr>
        <w:t xml:space="preserve"> </w:t>
      </w:r>
      <w:r w:rsidR="00161470">
        <w:rPr>
          <w:lang w:val="en-US"/>
        </w:rPr>
        <w:t>0.5 dan validitas konvergen terkonfirmasi.</w:t>
      </w:r>
    </w:p>
    <w:p w14:paraId="39CF2360" w14:textId="4649B45D" w:rsidR="00F43205" w:rsidRDefault="00F43205" w:rsidP="00156784">
      <w:pPr>
        <w:jc w:val="cente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6"/>
        <w:gridCol w:w="1193"/>
        <w:gridCol w:w="3075"/>
      </w:tblGrid>
      <w:tr w:rsidR="00EC59F1" w:rsidRPr="00F43205" w14:paraId="1EF8C3DE" w14:textId="77777777" w:rsidTr="00EC59F1">
        <w:trPr>
          <w:jc w:val="center"/>
        </w:trPr>
        <w:tc>
          <w:tcPr>
            <w:tcW w:w="5824" w:type="dxa"/>
            <w:gridSpan w:val="3"/>
            <w:tcBorders>
              <w:top w:val="single" w:sz="4" w:space="0" w:color="auto"/>
              <w:bottom w:val="single" w:sz="4" w:space="0" w:color="auto"/>
            </w:tcBorders>
            <w:shd w:val="solid" w:color="auto" w:fill="auto"/>
          </w:tcPr>
          <w:p w14:paraId="2F530522" w14:textId="3C7A2EC4" w:rsidR="00EC59F1" w:rsidRPr="00F43205" w:rsidRDefault="00EC59F1" w:rsidP="007379A1">
            <w:pPr>
              <w:spacing w:line="240" w:lineRule="auto"/>
              <w:jc w:val="center"/>
              <w:rPr>
                <w:b/>
                <w:bCs/>
                <w:sz w:val="20"/>
                <w:szCs w:val="16"/>
              </w:rPr>
            </w:pPr>
            <w:r w:rsidRPr="000B340C">
              <w:rPr>
                <w:sz w:val="20"/>
                <w:szCs w:val="16"/>
              </w:rPr>
              <w:t>Tabel 2. Assessment of the measurement model</w:t>
            </w:r>
          </w:p>
        </w:tc>
      </w:tr>
      <w:tr w:rsidR="00F43205" w:rsidRPr="00F43205" w14:paraId="7C12EC52" w14:textId="77777777" w:rsidTr="00C1466C">
        <w:trPr>
          <w:jc w:val="center"/>
        </w:trPr>
        <w:tc>
          <w:tcPr>
            <w:tcW w:w="1556" w:type="dxa"/>
            <w:tcBorders>
              <w:top w:val="single" w:sz="4" w:space="0" w:color="auto"/>
              <w:bottom w:val="single" w:sz="4" w:space="0" w:color="auto"/>
            </w:tcBorders>
          </w:tcPr>
          <w:p w14:paraId="1FC42112" w14:textId="4C83901B" w:rsidR="00F43205" w:rsidRPr="00F43205" w:rsidRDefault="00F43205" w:rsidP="007379A1">
            <w:pPr>
              <w:spacing w:line="240" w:lineRule="auto"/>
              <w:jc w:val="center"/>
              <w:rPr>
                <w:b/>
                <w:bCs/>
                <w:sz w:val="20"/>
                <w:szCs w:val="16"/>
              </w:rPr>
            </w:pPr>
            <w:r w:rsidRPr="00F43205">
              <w:rPr>
                <w:b/>
                <w:bCs/>
                <w:sz w:val="20"/>
                <w:szCs w:val="16"/>
              </w:rPr>
              <w:t>Path</w:t>
            </w:r>
          </w:p>
        </w:tc>
        <w:tc>
          <w:tcPr>
            <w:tcW w:w="1193" w:type="dxa"/>
            <w:tcBorders>
              <w:top w:val="single" w:sz="4" w:space="0" w:color="auto"/>
              <w:bottom w:val="single" w:sz="4" w:space="0" w:color="auto"/>
            </w:tcBorders>
          </w:tcPr>
          <w:p w14:paraId="4235796B" w14:textId="0BEF8552" w:rsidR="00F43205" w:rsidRPr="00F43205" w:rsidRDefault="00F43205" w:rsidP="007379A1">
            <w:pPr>
              <w:spacing w:line="240" w:lineRule="auto"/>
              <w:jc w:val="center"/>
              <w:rPr>
                <w:b/>
                <w:bCs/>
                <w:sz w:val="20"/>
                <w:szCs w:val="16"/>
              </w:rPr>
            </w:pPr>
            <w:r w:rsidRPr="00F43205">
              <w:rPr>
                <w:b/>
                <w:bCs/>
                <w:sz w:val="20"/>
                <w:szCs w:val="16"/>
              </w:rPr>
              <w:t>Loadings</w:t>
            </w:r>
          </w:p>
        </w:tc>
        <w:tc>
          <w:tcPr>
            <w:tcW w:w="3075" w:type="dxa"/>
            <w:tcBorders>
              <w:top w:val="single" w:sz="4" w:space="0" w:color="auto"/>
              <w:bottom w:val="single" w:sz="4" w:space="0" w:color="auto"/>
            </w:tcBorders>
          </w:tcPr>
          <w:p w14:paraId="187FDB76" w14:textId="51965BD9" w:rsidR="00F43205" w:rsidRPr="00F43205" w:rsidRDefault="00F43205" w:rsidP="007379A1">
            <w:pPr>
              <w:spacing w:line="240" w:lineRule="auto"/>
              <w:jc w:val="center"/>
              <w:rPr>
                <w:b/>
                <w:bCs/>
                <w:sz w:val="20"/>
                <w:szCs w:val="16"/>
              </w:rPr>
            </w:pPr>
            <w:r w:rsidRPr="00F43205">
              <w:rPr>
                <w:b/>
                <w:bCs/>
                <w:sz w:val="20"/>
                <w:szCs w:val="16"/>
              </w:rPr>
              <w:t>Reliability&amp; validity</w:t>
            </w:r>
          </w:p>
        </w:tc>
      </w:tr>
      <w:tr w:rsidR="009B66B5" w:rsidRPr="00F43205" w14:paraId="5416AB94" w14:textId="77777777" w:rsidTr="00C1466C">
        <w:trPr>
          <w:jc w:val="center"/>
        </w:trPr>
        <w:tc>
          <w:tcPr>
            <w:tcW w:w="1556" w:type="dxa"/>
            <w:tcBorders>
              <w:top w:val="single" w:sz="4" w:space="0" w:color="auto"/>
              <w:bottom w:val="nil"/>
            </w:tcBorders>
          </w:tcPr>
          <w:p w14:paraId="7D00F74D" w14:textId="6522DF28" w:rsidR="009B66B5" w:rsidRPr="00F43205" w:rsidRDefault="009B66B5" w:rsidP="007379A1">
            <w:pPr>
              <w:spacing w:line="240" w:lineRule="auto"/>
              <w:rPr>
                <w:sz w:val="20"/>
                <w:szCs w:val="16"/>
              </w:rPr>
            </w:pPr>
            <w:r>
              <w:rPr>
                <w:sz w:val="20"/>
                <w:szCs w:val="16"/>
              </w:rPr>
              <w:t>TS → TS</w:t>
            </w:r>
            <w:r w:rsidR="00C1466C">
              <w:rPr>
                <w:sz w:val="20"/>
                <w:szCs w:val="16"/>
              </w:rPr>
              <w:t>1</w:t>
            </w:r>
          </w:p>
        </w:tc>
        <w:tc>
          <w:tcPr>
            <w:tcW w:w="1193" w:type="dxa"/>
            <w:tcBorders>
              <w:top w:val="single" w:sz="4" w:space="0" w:color="auto"/>
              <w:bottom w:val="nil"/>
            </w:tcBorders>
          </w:tcPr>
          <w:p w14:paraId="291C4C5F" w14:textId="1330E6A2" w:rsidR="009B66B5" w:rsidRPr="00F43205" w:rsidRDefault="009B66B5" w:rsidP="007379A1">
            <w:pPr>
              <w:spacing w:line="240" w:lineRule="auto"/>
              <w:jc w:val="center"/>
              <w:rPr>
                <w:sz w:val="20"/>
                <w:szCs w:val="16"/>
              </w:rPr>
            </w:pPr>
            <w:r>
              <w:rPr>
                <w:sz w:val="20"/>
                <w:szCs w:val="16"/>
              </w:rPr>
              <w:t>.7</w:t>
            </w:r>
            <w:r w:rsidR="00C1466C">
              <w:rPr>
                <w:sz w:val="20"/>
                <w:szCs w:val="16"/>
              </w:rPr>
              <w:t>35</w:t>
            </w:r>
          </w:p>
        </w:tc>
        <w:tc>
          <w:tcPr>
            <w:tcW w:w="3075" w:type="dxa"/>
            <w:vMerge w:val="restart"/>
            <w:tcBorders>
              <w:top w:val="single" w:sz="4" w:space="0" w:color="auto"/>
            </w:tcBorders>
          </w:tcPr>
          <w:p w14:paraId="369BC328" w14:textId="69B00CC6" w:rsidR="00F37A70" w:rsidRDefault="00F37A70" w:rsidP="00754400">
            <w:pPr>
              <w:spacing w:line="240" w:lineRule="auto"/>
              <w:jc w:val="center"/>
              <w:rPr>
                <w:sz w:val="20"/>
                <w:szCs w:val="16"/>
              </w:rPr>
            </w:pPr>
            <w:r>
              <w:rPr>
                <w:sz w:val="20"/>
                <w:szCs w:val="16"/>
              </w:rPr>
              <w:t>AVE = .5</w:t>
            </w:r>
            <w:r w:rsidR="000C49F3">
              <w:rPr>
                <w:sz w:val="20"/>
                <w:szCs w:val="16"/>
              </w:rPr>
              <w:t>57</w:t>
            </w:r>
          </w:p>
          <w:p w14:paraId="276C6F6E" w14:textId="48F052A8" w:rsidR="009B66B5" w:rsidRDefault="00754400" w:rsidP="00754400">
            <w:pPr>
              <w:spacing w:line="240" w:lineRule="auto"/>
              <w:jc w:val="center"/>
              <w:rPr>
                <w:sz w:val="20"/>
                <w:szCs w:val="16"/>
              </w:rPr>
            </w:pPr>
            <w:r>
              <w:rPr>
                <w:sz w:val="20"/>
                <w:szCs w:val="16"/>
              </w:rPr>
              <w:t>CR =</w:t>
            </w:r>
            <w:r w:rsidR="00F37A70">
              <w:rPr>
                <w:sz w:val="20"/>
                <w:szCs w:val="16"/>
              </w:rPr>
              <w:t xml:space="preserve"> </w:t>
            </w:r>
            <w:r>
              <w:rPr>
                <w:sz w:val="20"/>
                <w:szCs w:val="16"/>
              </w:rPr>
              <w:t>.</w:t>
            </w:r>
            <w:r w:rsidR="00F37A70">
              <w:rPr>
                <w:sz w:val="20"/>
                <w:szCs w:val="16"/>
              </w:rPr>
              <w:t>8</w:t>
            </w:r>
            <w:r w:rsidR="000C49F3">
              <w:rPr>
                <w:sz w:val="20"/>
                <w:szCs w:val="16"/>
              </w:rPr>
              <w:t>35</w:t>
            </w:r>
          </w:p>
          <w:p w14:paraId="51E35922" w14:textId="65F36B37" w:rsidR="00754400" w:rsidRDefault="00F37A70" w:rsidP="00754400">
            <w:pPr>
              <w:spacing w:line="240" w:lineRule="auto"/>
              <w:jc w:val="center"/>
              <w:rPr>
                <w:sz w:val="20"/>
                <w:szCs w:val="16"/>
              </w:rPr>
            </w:pPr>
            <w:r>
              <w:rPr>
                <w:sz w:val="20"/>
                <w:szCs w:val="16"/>
              </w:rPr>
              <w:t xml:space="preserve">α = </w:t>
            </w:r>
            <w:r w:rsidR="006959E4">
              <w:rPr>
                <w:sz w:val="20"/>
                <w:szCs w:val="16"/>
              </w:rPr>
              <w:t>.</w:t>
            </w:r>
            <w:r w:rsidR="000C49F3">
              <w:rPr>
                <w:sz w:val="20"/>
                <w:szCs w:val="16"/>
              </w:rPr>
              <w:t>741</w:t>
            </w:r>
          </w:p>
          <w:p w14:paraId="3DAA94AE" w14:textId="4EDEBC1C" w:rsidR="00A23187" w:rsidRPr="00F43205" w:rsidRDefault="00A23187" w:rsidP="00754400">
            <w:pPr>
              <w:spacing w:line="240" w:lineRule="auto"/>
              <w:jc w:val="center"/>
              <w:rPr>
                <w:sz w:val="20"/>
                <w:szCs w:val="16"/>
              </w:rPr>
            </w:pPr>
          </w:p>
        </w:tc>
      </w:tr>
      <w:tr w:rsidR="00C1466C" w:rsidRPr="00F43205" w14:paraId="5A8F8C8B" w14:textId="77777777" w:rsidTr="00C1466C">
        <w:trPr>
          <w:jc w:val="center"/>
        </w:trPr>
        <w:tc>
          <w:tcPr>
            <w:tcW w:w="1556" w:type="dxa"/>
            <w:tcBorders>
              <w:top w:val="nil"/>
              <w:bottom w:val="nil"/>
            </w:tcBorders>
          </w:tcPr>
          <w:p w14:paraId="2AA23FA8" w14:textId="5DA9D33D" w:rsidR="00C1466C" w:rsidRDefault="00C1466C" w:rsidP="007379A1">
            <w:pPr>
              <w:spacing w:line="240" w:lineRule="auto"/>
              <w:rPr>
                <w:sz w:val="20"/>
                <w:szCs w:val="16"/>
              </w:rPr>
            </w:pPr>
            <w:r>
              <w:rPr>
                <w:sz w:val="20"/>
                <w:szCs w:val="16"/>
              </w:rPr>
              <w:t>TS → TS2</w:t>
            </w:r>
          </w:p>
        </w:tc>
        <w:tc>
          <w:tcPr>
            <w:tcW w:w="1193" w:type="dxa"/>
            <w:tcBorders>
              <w:top w:val="nil"/>
              <w:bottom w:val="nil"/>
            </w:tcBorders>
          </w:tcPr>
          <w:p w14:paraId="2D70D38B" w14:textId="5AA8406E" w:rsidR="00C1466C" w:rsidRDefault="00C1466C" w:rsidP="007379A1">
            <w:pPr>
              <w:spacing w:line="240" w:lineRule="auto"/>
              <w:jc w:val="center"/>
              <w:rPr>
                <w:sz w:val="20"/>
                <w:szCs w:val="16"/>
              </w:rPr>
            </w:pPr>
            <w:r>
              <w:rPr>
                <w:sz w:val="20"/>
                <w:szCs w:val="16"/>
              </w:rPr>
              <w:t>.720</w:t>
            </w:r>
          </w:p>
        </w:tc>
        <w:tc>
          <w:tcPr>
            <w:tcW w:w="3075" w:type="dxa"/>
            <w:vMerge/>
            <w:tcBorders>
              <w:top w:val="single" w:sz="4" w:space="0" w:color="auto"/>
            </w:tcBorders>
          </w:tcPr>
          <w:p w14:paraId="5C704839" w14:textId="77777777" w:rsidR="00C1466C" w:rsidRDefault="00C1466C" w:rsidP="00754400">
            <w:pPr>
              <w:spacing w:line="240" w:lineRule="auto"/>
              <w:jc w:val="center"/>
              <w:rPr>
                <w:sz w:val="20"/>
                <w:szCs w:val="16"/>
              </w:rPr>
            </w:pPr>
          </w:p>
        </w:tc>
      </w:tr>
      <w:tr w:rsidR="009B66B5" w:rsidRPr="00F43205" w14:paraId="6459AB5F" w14:textId="77777777" w:rsidTr="00C1466C">
        <w:trPr>
          <w:jc w:val="center"/>
        </w:trPr>
        <w:tc>
          <w:tcPr>
            <w:tcW w:w="1556" w:type="dxa"/>
            <w:tcBorders>
              <w:top w:val="nil"/>
            </w:tcBorders>
          </w:tcPr>
          <w:p w14:paraId="04C13AD7" w14:textId="39526290" w:rsidR="009B66B5" w:rsidRPr="00F43205" w:rsidRDefault="009B66B5" w:rsidP="007379A1">
            <w:pPr>
              <w:spacing w:line="240" w:lineRule="auto"/>
              <w:rPr>
                <w:sz w:val="20"/>
                <w:szCs w:val="16"/>
              </w:rPr>
            </w:pPr>
            <w:r>
              <w:rPr>
                <w:sz w:val="20"/>
                <w:szCs w:val="16"/>
              </w:rPr>
              <w:t>TS → TS3</w:t>
            </w:r>
          </w:p>
        </w:tc>
        <w:tc>
          <w:tcPr>
            <w:tcW w:w="1193" w:type="dxa"/>
            <w:tcBorders>
              <w:top w:val="nil"/>
            </w:tcBorders>
          </w:tcPr>
          <w:p w14:paraId="03FAF711" w14:textId="75785401" w:rsidR="009B66B5" w:rsidRPr="00F43205" w:rsidRDefault="009B66B5" w:rsidP="007379A1">
            <w:pPr>
              <w:spacing w:line="240" w:lineRule="auto"/>
              <w:jc w:val="center"/>
              <w:rPr>
                <w:sz w:val="20"/>
                <w:szCs w:val="16"/>
              </w:rPr>
            </w:pPr>
            <w:r>
              <w:rPr>
                <w:sz w:val="20"/>
                <w:szCs w:val="16"/>
              </w:rPr>
              <w:t>.</w:t>
            </w:r>
            <w:r w:rsidR="00C1466C">
              <w:rPr>
                <w:sz w:val="20"/>
                <w:szCs w:val="16"/>
              </w:rPr>
              <w:t>.753</w:t>
            </w:r>
          </w:p>
        </w:tc>
        <w:tc>
          <w:tcPr>
            <w:tcW w:w="3075" w:type="dxa"/>
            <w:vMerge/>
          </w:tcPr>
          <w:p w14:paraId="4DE4FA0D" w14:textId="77777777" w:rsidR="009B66B5" w:rsidRPr="00F43205" w:rsidRDefault="009B66B5" w:rsidP="007379A1">
            <w:pPr>
              <w:spacing w:line="240" w:lineRule="auto"/>
              <w:rPr>
                <w:sz w:val="20"/>
                <w:szCs w:val="16"/>
              </w:rPr>
            </w:pPr>
          </w:p>
        </w:tc>
      </w:tr>
      <w:tr w:rsidR="009B66B5" w:rsidRPr="00F43205" w14:paraId="23BA8E5C" w14:textId="77777777" w:rsidTr="006959E4">
        <w:trPr>
          <w:jc w:val="center"/>
        </w:trPr>
        <w:tc>
          <w:tcPr>
            <w:tcW w:w="1556" w:type="dxa"/>
          </w:tcPr>
          <w:p w14:paraId="5F1055DE" w14:textId="79E5BC34" w:rsidR="009B66B5" w:rsidRPr="00F43205" w:rsidRDefault="009B66B5" w:rsidP="007379A1">
            <w:pPr>
              <w:spacing w:line="240" w:lineRule="auto"/>
              <w:rPr>
                <w:sz w:val="20"/>
                <w:szCs w:val="16"/>
              </w:rPr>
            </w:pPr>
            <w:r>
              <w:rPr>
                <w:sz w:val="20"/>
                <w:szCs w:val="16"/>
              </w:rPr>
              <w:t>TS → TS4</w:t>
            </w:r>
          </w:p>
        </w:tc>
        <w:tc>
          <w:tcPr>
            <w:tcW w:w="1193" w:type="dxa"/>
          </w:tcPr>
          <w:p w14:paraId="10BB173E" w14:textId="2829F107" w:rsidR="009B66B5" w:rsidRPr="00F43205" w:rsidRDefault="009B66B5" w:rsidP="007379A1">
            <w:pPr>
              <w:spacing w:line="240" w:lineRule="auto"/>
              <w:jc w:val="center"/>
              <w:rPr>
                <w:sz w:val="20"/>
                <w:szCs w:val="16"/>
              </w:rPr>
            </w:pPr>
            <w:r>
              <w:rPr>
                <w:sz w:val="20"/>
                <w:szCs w:val="16"/>
              </w:rPr>
              <w:t>.</w:t>
            </w:r>
            <w:r w:rsidR="00C1466C">
              <w:rPr>
                <w:sz w:val="20"/>
                <w:szCs w:val="16"/>
              </w:rPr>
              <w:t>776</w:t>
            </w:r>
          </w:p>
        </w:tc>
        <w:tc>
          <w:tcPr>
            <w:tcW w:w="3075" w:type="dxa"/>
            <w:vMerge/>
          </w:tcPr>
          <w:p w14:paraId="74776715" w14:textId="77777777" w:rsidR="009B66B5" w:rsidRPr="00F43205" w:rsidRDefault="009B66B5" w:rsidP="007379A1">
            <w:pPr>
              <w:spacing w:line="240" w:lineRule="auto"/>
              <w:rPr>
                <w:sz w:val="20"/>
                <w:szCs w:val="16"/>
              </w:rPr>
            </w:pPr>
          </w:p>
        </w:tc>
      </w:tr>
      <w:tr w:rsidR="00462902" w:rsidRPr="00F43205" w14:paraId="04E71CD3" w14:textId="77777777" w:rsidTr="006959E4">
        <w:trPr>
          <w:jc w:val="center"/>
        </w:trPr>
        <w:tc>
          <w:tcPr>
            <w:tcW w:w="1556" w:type="dxa"/>
          </w:tcPr>
          <w:p w14:paraId="46F43178" w14:textId="34D18A90" w:rsidR="00462902" w:rsidRPr="00F43205" w:rsidRDefault="00462902" w:rsidP="007379A1">
            <w:pPr>
              <w:spacing w:line="240" w:lineRule="auto"/>
              <w:rPr>
                <w:sz w:val="20"/>
                <w:szCs w:val="16"/>
              </w:rPr>
            </w:pPr>
            <w:r>
              <w:rPr>
                <w:sz w:val="20"/>
                <w:szCs w:val="16"/>
              </w:rPr>
              <w:t>LS → LS1</w:t>
            </w:r>
          </w:p>
        </w:tc>
        <w:tc>
          <w:tcPr>
            <w:tcW w:w="1193" w:type="dxa"/>
          </w:tcPr>
          <w:p w14:paraId="211A9E77" w14:textId="49955CE9" w:rsidR="00462902" w:rsidRPr="00F43205" w:rsidRDefault="00462902" w:rsidP="007379A1">
            <w:pPr>
              <w:spacing w:line="240" w:lineRule="auto"/>
              <w:jc w:val="center"/>
              <w:rPr>
                <w:sz w:val="20"/>
                <w:szCs w:val="16"/>
              </w:rPr>
            </w:pPr>
            <w:r>
              <w:rPr>
                <w:sz w:val="20"/>
                <w:szCs w:val="16"/>
              </w:rPr>
              <w:t>.7</w:t>
            </w:r>
            <w:r w:rsidR="00C1466C">
              <w:rPr>
                <w:sz w:val="20"/>
                <w:szCs w:val="16"/>
              </w:rPr>
              <w:t>7</w:t>
            </w:r>
            <w:r w:rsidR="00252C40">
              <w:rPr>
                <w:sz w:val="20"/>
                <w:szCs w:val="16"/>
              </w:rPr>
              <w:t>5</w:t>
            </w:r>
          </w:p>
        </w:tc>
        <w:tc>
          <w:tcPr>
            <w:tcW w:w="3075" w:type="dxa"/>
            <w:vMerge w:val="restart"/>
          </w:tcPr>
          <w:p w14:paraId="6E460D85" w14:textId="67E6B14F" w:rsidR="00F37A70" w:rsidRDefault="00F37A70" w:rsidP="00F37A70">
            <w:pPr>
              <w:spacing w:line="240" w:lineRule="auto"/>
              <w:jc w:val="center"/>
              <w:rPr>
                <w:sz w:val="20"/>
                <w:szCs w:val="16"/>
              </w:rPr>
            </w:pPr>
            <w:r>
              <w:rPr>
                <w:sz w:val="20"/>
                <w:szCs w:val="16"/>
              </w:rPr>
              <w:t>AVE = .6</w:t>
            </w:r>
            <w:r w:rsidR="000C49F3">
              <w:rPr>
                <w:sz w:val="20"/>
                <w:szCs w:val="16"/>
              </w:rPr>
              <w:t>08</w:t>
            </w:r>
          </w:p>
          <w:p w14:paraId="1081A14E" w14:textId="16D1362D" w:rsidR="00F37A70" w:rsidRDefault="00F37A70" w:rsidP="00F37A70">
            <w:pPr>
              <w:spacing w:line="240" w:lineRule="auto"/>
              <w:jc w:val="center"/>
              <w:rPr>
                <w:sz w:val="20"/>
                <w:szCs w:val="16"/>
              </w:rPr>
            </w:pPr>
            <w:r>
              <w:rPr>
                <w:sz w:val="20"/>
                <w:szCs w:val="16"/>
              </w:rPr>
              <w:t>CR = .86</w:t>
            </w:r>
            <w:r w:rsidR="000C49F3">
              <w:rPr>
                <w:sz w:val="20"/>
                <w:szCs w:val="16"/>
              </w:rPr>
              <w:t>1</w:t>
            </w:r>
          </w:p>
          <w:p w14:paraId="153DF4DA" w14:textId="77D9A954" w:rsidR="00462902" w:rsidRPr="00F43205" w:rsidRDefault="00F37A70" w:rsidP="00F37A70">
            <w:pPr>
              <w:spacing w:line="240" w:lineRule="auto"/>
              <w:jc w:val="center"/>
              <w:rPr>
                <w:sz w:val="20"/>
                <w:szCs w:val="16"/>
              </w:rPr>
            </w:pPr>
            <w:r>
              <w:rPr>
                <w:sz w:val="20"/>
                <w:szCs w:val="16"/>
              </w:rPr>
              <w:t xml:space="preserve">α = </w:t>
            </w:r>
            <w:r w:rsidR="006959E4">
              <w:rPr>
                <w:sz w:val="20"/>
                <w:szCs w:val="16"/>
              </w:rPr>
              <w:t>.</w:t>
            </w:r>
            <w:r>
              <w:rPr>
                <w:sz w:val="20"/>
                <w:szCs w:val="16"/>
              </w:rPr>
              <w:t>7</w:t>
            </w:r>
            <w:r w:rsidR="000C49F3">
              <w:rPr>
                <w:sz w:val="20"/>
                <w:szCs w:val="16"/>
              </w:rPr>
              <w:t>68</w:t>
            </w:r>
          </w:p>
        </w:tc>
      </w:tr>
      <w:tr w:rsidR="00462902" w:rsidRPr="00F43205" w14:paraId="67C64CF9" w14:textId="77777777" w:rsidTr="006959E4">
        <w:trPr>
          <w:jc w:val="center"/>
        </w:trPr>
        <w:tc>
          <w:tcPr>
            <w:tcW w:w="1556" w:type="dxa"/>
          </w:tcPr>
          <w:p w14:paraId="31498506" w14:textId="3972C280" w:rsidR="00462902" w:rsidRPr="00F43205" w:rsidRDefault="00462902" w:rsidP="007379A1">
            <w:pPr>
              <w:spacing w:line="240" w:lineRule="auto"/>
              <w:rPr>
                <w:sz w:val="20"/>
                <w:szCs w:val="16"/>
              </w:rPr>
            </w:pPr>
            <w:r>
              <w:rPr>
                <w:sz w:val="20"/>
                <w:szCs w:val="16"/>
              </w:rPr>
              <w:t>LS → LS2</w:t>
            </w:r>
          </w:p>
        </w:tc>
        <w:tc>
          <w:tcPr>
            <w:tcW w:w="1193" w:type="dxa"/>
          </w:tcPr>
          <w:p w14:paraId="6C80FDC2" w14:textId="34A6C704" w:rsidR="00462902" w:rsidRPr="00F43205" w:rsidRDefault="00462902" w:rsidP="007379A1">
            <w:pPr>
              <w:spacing w:line="240" w:lineRule="auto"/>
              <w:jc w:val="center"/>
              <w:rPr>
                <w:sz w:val="20"/>
                <w:szCs w:val="16"/>
              </w:rPr>
            </w:pPr>
            <w:r>
              <w:rPr>
                <w:sz w:val="20"/>
                <w:szCs w:val="16"/>
              </w:rPr>
              <w:t>.</w:t>
            </w:r>
            <w:r w:rsidR="00C1466C">
              <w:rPr>
                <w:sz w:val="20"/>
                <w:szCs w:val="16"/>
              </w:rPr>
              <w:t>786</w:t>
            </w:r>
          </w:p>
        </w:tc>
        <w:tc>
          <w:tcPr>
            <w:tcW w:w="3075" w:type="dxa"/>
            <w:vMerge/>
          </w:tcPr>
          <w:p w14:paraId="2B93FFBA" w14:textId="77777777" w:rsidR="00462902" w:rsidRPr="00F43205" w:rsidRDefault="00462902" w:rsidP="007379A1">
            <w:pPr>
              <w:spacing w:line="240" w:lineRule="auto"/>
              <w:rPr>
                <w:sz w:val="20"/>
                <w:szCs w:val="16"/>
              </w:rPr>
            </w:pPr>
          </w:p>
        </w:tc>
      </w:tr>
      <w:tr w:rsidR="00462902" w:rsidRPr="00F43205" w14:paraId="6CA6B168" w14:textId="77777777" w:rsidTr="006959E4">
        <w:trPr>
          <w:jc w:val="center"/>
        </w:trPr>
        <w:tc>
          <w:tcPr>
            <w:tcW w:w="1556" w:type="dxa"/>
          </w:tcPr>
          <w:p w14:paraId="3D83D475" w14:textId="04AAA1BA" w:rsidR="00462902" w:rsidRPr="00F43205" w:rsidRDefault="00462902" w:rsidP="007379A1">
            <w:pPr>
              <w:spacing w:line="240" w:lineRule="auto"/>
              <w:rPr>
                <w:sz w:val="20"/>
                <w:szCs w:val="16"/>
              </w:rPr>
            </w:pPr>
            <w:r>
              <w:rPr>
                <w:sz w:val="20"/>
                <w:szCs w:val="16"/>
              </w:rPr>
              <w:t>LS → LS3</w:t>
            </w:r>
          </w:p>
        </w:tc>
        <w:tc>
          <w:tcPr>
            <w:tcW w:w="1193" w:type="dxa"/>
          </w:tcPr>
          <w:p w14:paraId="057A6AD8" w14:textId="42E1991C" w:rsidR="00462902" w:rsidRPr="00F43205" w:rsidRDefault="00462902" w:rsidP="007379A1">
            <w:pPr>
              <w:spacing w:line="240" w:lineRule="auto"/>
              <w:jc w:val="center"/>
              <w:rPr>
                <w:sz w:val="20"/>
                <w:szCs w:val="16"/>
              </w:rPr>
            </w:pPr>
            <w:r>
              <w:rPr>
                <w:sz w:val="20"/>
                <w:szCs w:val="16"/>
              </w:rPr>
              <w:t>.</w:t>
            </w:r>
            <w:r w:rsidR="00C1466C">
              <w:rPr>
                <w:sz w:val="20"/>
                <w:szCs w:val="16"/>
              </w:rPr>
              <w:t>803</w:t>
            </w:r>
          </w:p>
        </w:tc>
        <w:tc>
          <w:tcPr>
            <w:tcW w:w="3075" w:type="dxa"/>
            <w:vMerge/>
          </w:tcPr>
          <w:p w14:paraId="446187E2" w14:textId="77777777" w:rsidR="00462902" w:rsidRPr="00F43205" w:rsidRDefault="00462902" w:rsidP="007379A1">
            <w:pPr>
              <w:spacing w:line="240" w:lineRule="auto"/>
              <w:rPr>
                <w:sz w:val="20"/>
                <w:szCs w:val="16"/>
              </w:rPr>
            </w:pPr>
          </w:p>
        </w:tc>
      </w:tr>
      <w:tr w:rsidR="00462902" w:rsidRPr="00F43205" w14:paraId="0BEF20D0" w14:textId="77777777" w:rsidTr="006959E4">
        <w:trPr>
          <w:jc w:val="center"/>
        </w:trPr>
        <w:tc>
          <w:tcPr>
            <w:tcW w:w="1556" w:type="dxa"/>
          </w:tcPr>
          <w:p w14:paraId="5FC1C290" w14:textId="50F41C52" w:rsidR="00462902" w:rsidRDefault="00462902" w:rsidP="007379A1">
            <w:pPr>
              <w:spacing w:line="240" w:lineRule="auto"/>
              <w:rPr>
                <w:sz w:val="20"/>
                <w:szCs w:val="16"/>
              </w:rPr>
            </w:pPr>
            <w:r>
              <w:rPr>
                <w:sz w:val="20"/>
                <w:szCs w:val="16"/>
              </w:rPr>
              <w:t>LS → LS4</w:t>
            </w:r>
          </w:p>
        </w:tc>
        <w:tc>
          <w:tcPr>
            <w:tcW w:w="1193" w:type="dxa"/>
          </w:tcPr>
          <w:p w14:paraId="2751EC0D" w14:textId="173F43F2" w:rsidR="00F604A5" w:rsidRPr="00F43205" w:rsidRDefault="00462902" w:rsidP="00C1466C">
            <w:pPr>
              <w:spacing w:line="240" w:lineRule="auto"/>
              <w:jc w:val="center"/>
              <w:rPr>
                <w:sz w:val="20"/>
                <w:szCs w:val="16"/>
              </w:rPr>
            </w:pPr>
            <w:r>
              <w:rPr>
                <w:sz w:val="20"/>
                <w:szCs w:val="16"/>
              </w:rPr>
              <w:t>.7</w:t>
            </w:r>
            <w:r w:rsidR="00C1466C">
              <w:rPr>
                <w:sz w:val="20"/>
                <w:szCs w:val="16"/>
              </w:rPr>
              <w:t>53</w:t>
            </w:r>
          </w:p>
        </w:tc>
        <w:tc>
          <w:tcPr>
            <w:tcW w:w="3075" w:type="dxa"/>
            <w:vMerge/>
          </w:tcPr>
          <w:p w14:paraId="0CD96B1E" w14:textId="77777777" w:rsidR="00462902" w:rsidRPr="00F43205" w:rsidRDefault="00462902" w:rsidP="007379A1">
            <w:pPr>
              <w:spacing w:line="240" w:lineRule="auto"/>
              <w:rPr>
                <w:sz w:val="20"/>
                <w:szCs w:val="16"/>
              </w:rPr>
            </w:pPr>
          </w:p>
        </w:tc>
      </w:tr>
      <w:tr w:rsidR="00F37A70" w:rsidRPr="00F43205" w14:paraId="7690D766" w14:textId="77777777" w:rsidTr="006959E4">
        <w:trPr>
          <w:jc w:val="center"/>
        </w:trPr>
        <w:tc>
          <w:tcPr>
            <w:tcW w:w="1556" w:type="dxa"/>
          </w:tcPr>
          <w:p w14:paraId="182737D0" w14:textId="35F6D22E" w:rsidR="00F37A70" w:rsidRDefault="00F37A70" w:rsidP="007379A1">
            <w:pPr>
              <w:spacing w:line="240" w:lineRule="auto"/>
              <w:rPr>
                <w:sz w:val="20"/>
                <w:szCs w:val="16"/>
              </w:rPr>
            </w:pPr>
            <w:r>
              <w:rPr>
                <w:sz w:val="20"/>
                <w:szCs w:val="16"/>
              </w:rPr>
              <w:t>PD → PD2</w:t>
            </w:r>
          </w:p>
        </w:tc>
        <w:tc>
          <w:tcPr>
            <w:tcW w:w="1193" w:type="dxa"/>
          </w:tcPr>
          <w:p w14:paraId="3394DF0F" w14:textId="6F4222EB" w:rsidR="00F37A70" w:rsidRPr="00F43205" w:rsidRDefault="00F37A70" w:rsidP="007379A1">
            <w:pPr>
              <w:spacing w:line="240" w:lineRule="auto"/>
              <w:jc w:val="center"/>
              <w:rPr>
                <w:sz w:val="20"/>
                <w:szCs w:val="16"/>
              </w:rPr>
            </w:pPr>
            <w:r>
              <w:rPr>
                <w:sz w:val="20"/>
                <w:szCs w:val="16"/>
              </w:rPr>
              <w:t>.9</w:t>
            </w:r>
            <w:r w:rsidR="00C1466C">
              <w:rPr>
                <w:sz w:val="20"/>
                <w:szCs w:val="16"/>
              </w:rPr>
              <w:t>59</w:t>
            </w:r>
          </w:p>
        </w:tc>
        <w:tc>
          <w:tcPr>
            <w:tcW w:w="3075" w:type="dxa"/>
            <w:vMerge w:val="restart"/>
          </w:tcPr>
          <w:p w14:paraId="5AE9C279" w14:textId="2C317C59" w:rsidR="00F37A70" w:rsidRDefault="00F37A70" w:rsidP="00F37A70">
            <w:pPr>
              <w:spacing w:line="240" w:lineRule="auto"/>
              <w:jc w:val="center"/>
              <w:rPr>
                <w:sz w:val="20"/>
                <w:szCs w:val="16"/>
              </w:rPr>
            </w:pPr>
            <w:r>
              <w:rPr>
                <w:sz w:val="20"/>
                <w:szCs w:val="16"/>
              </w:rPr>
              <w:t>AVE = .56</w:t>
            </w:r>
            <w:r w:rsidR="000C49F3">
              <w:rPr>
                <w:sz w:val="20"/>
                <w:szCs w:val="16"/>
              </w:rPr>
              <w:t>1</w:t>
            </w:r>
          </w:p>
          <w:p w14:paraId="54D67BB7" w14:textId="7EC39566" w:rsidR="00F37A70" w:rsidRDefault="00F37A70" w:rsidP="00F37A70">
            <w:pPr>
              <w:spacing w:line="240" w:lineRule="auto"/>
              <w:jc w:val="center"/>
              <w:rPr>
                <w:sz w:val="20"/>
                <w:szCs w:val="16"/>
              </w:rPr>
            </w:pPr>
            <w:r>
              <w:rPr>
                <w:sz w:val="20"/>
                <w:szCs w:val="16"/>
              </w:rPr>
              <w:t>CR = .</w:t>
            </w:r>
            <w:r w:rsidR="00103A8D">
              <w:rPr>
                <w:sz w:val="20"/>
                <w:szCs w:val="16"/>
              </w:rPr>
              <w:t>82</w:t>
            </w:r>
            <w:r w:rsidR="000C49F3">
              <w:rPr>
                <w:sz w:val="20"/>
                <w:szCs w:val="16"/>
              </w:rPr>
              <w:t>2</w:t>
            </w:r>
          </w:p>
          <w:p w14:paraId="713E1AA3" w14:textId="4654B21B" w:rsidR="00A23187" w:rsidRPr="00F43205" w:rsidRDefault="00F37A70" w:rsidP="00C1466C">
            <w:pPr>
              <w:spacing w:line="240" w:lineRule="auto"/>
              <w:jc w:val="center"/>
              <w:rPr>
                <w:sz w:val="20"/>
                <w:szCs w:val="16"/>
              </w:rPr>
            </w:pPr>
            <w:r>
              <w:rPr>
                <w:sz w:val="20"/>
                <w:szCs w:val="16"/>
              </w:rPr>
              <w:t xml:space="preserve">α = </w:t>
            </w:r>
            <w:r w:rsidR="006959E4">
              <w:rPr>
                <w:sz w:val="20"/>
                <w:szCs w:val="16"/>
              </w:rPr>
              <w:t>.</w:t>
            </w:r>
            <w:r w:rsidR="00103A8D">
              <w:rPr>
                <w:sz w:val="20"/>
                <w:szCs w:val="16"/>
              </w:rPr>
              <w:t>71</w:t>
            </w:r>
            <w:r w:rsidR="000C49F3">
              <w:rPr>
                <w:sz w:val="20"/>
                <w:szCs w:val="16"/>
              </w:rPr>
              <w:t>5</w:t>
            </w:r>
          </w:p>
        </w:tc>
      </w:tr>
      <w:tr w:rsidR="00F37A70" w:rsidRPr="00F43205" w14:paraId="0FE6AA7E" w14:textId="77777777" w:rsidTr="006959E4">
        <w:trPr>
          <w:jc w:val="center"/>
        </w:trPr>
        <w:tc>
          <w:tcPr>
            <w:tcW w:w="1556" w:type="dxa"/>
          </w:tcPr>
          <w:p w14:paraId="043CC3D2" w14:textId="56C5B7C2" w:rsidR="00F37A70" w:rsidRDefault="00F37A70" w:rsidP="007379A1">
            <w:pPr>
              <w:spacing w:line="240" w:lineRule="auto"/>
              <w:rPr>
                <w:sz w:val="20"/>
                <w:szCs w:val="16"/>
              </w:rPr>
            </w:pPr>
            <w:r>
              <w:rPr>
                <w:sz w:val="20"/>
                <w:szCs w:val="16"/>
              </w:rPr>
              <w:t>PD → PD</w:t>
            </w:r>
            <w:r w:rsidR="001F1557">
              <w:rPr>
                <w:sz w:val="20"/>
                <w:szCs w:val="16"/>
              </w:rPr>
              <w:t>4</w:t>
            </w:r>
          </w:p>
        </w:tc>
        <w:tc>
          <w:tcPr>
            <w:tcW w:w="1193" w:type="dxa"/>
          </w:tcPr>
          <w:p w14:paraId="2A30F282" w14:textId="0E620EA3" w:rsidR="00F37A70" w:rsidRDefault="00F37A70" w:rsidP="007379A1">
            <w:pPr>
              <w:spacing w:line="240" w:lineRule="auto"/>
              <w:jc w:val="center"/>
              <w:rPr>
                <w:sz w:val="20"/>
                <w:szCs w:val="16"/>
              </w:rPr>
            </w:pPr>
            <w:r>
              <w:rPr>
                <w:sz w:val="20"/>
                <w:szCs w:val="16"/>
              </w:rPr>
              <w:t>.9</w:t>
            </w:r>
            <w:r w:rsidR="00C1466C">
              <w:rPr>
                <w:sz w:val="20"/>
                <w:szCs w:val="16"/>
              </w:rPr>
              <w:t>27</w:t>
            </w:r>
          </w:p>
        </w:tc>
        <w:tc>
          <w:tcPr>
            <w:tcW w:w="3075" w:type="dxa"/>
            <w:vMerge/>
          </w:tcPr>
          <w:p w14:paraId="32D426F1" w14:textId="77777777" w:rsidR="00F37A70" w:rsidRPr="00F43205" w:rsidRDefault="00F37A70" w:rsidP="007379A1">
            <w:pPr>
              <w:spacing w:line="240" w:lineRule="auto"/>
              <w:rPr>
                <w:sz w:val="20"/>
                <w:szCs w:val="16"/>
              </w:rPr>
            </w:pPr>
          </w:p>
        </w:tc>
      </w:tr>
      <w:tr w:rsidR="00252C40" w:rsidRPr="00F43205" w14:paraId="0A1D8252" w14:textId="77777777" w:rsidTr="006959E4">
        <w:trPr>
          <w:jc w:val="center"/>
        </w:trPr>
        <w:tc>
          <w:tcPr>
            <w:tcW w:w="1556" w:type="dxa"/>
          </w:tcPr>
          <w:p w14:paraId="0A6B2777" w14:textId="1679055E" w:rsidR="00252C40" w:rsidRDefault="00252C40" w:rsidP="007379A1">
            <w:pPr>
              <w:spacing w:line="240" w:lineRule="auto"/>
              <w:rPr>
                <w:sz w:val="20"/>
                <w:szCs w:val="16"/>
              </w:rPr>
            </w:pPr>
            <w:r>
              <w:rPr>
                <w:sz w:val="20"/>
                <w:szCs w:val="16"/>
              </w:rPr>
              <w:t>ET → ET1</w:t>
            </w:r>
          </w:p>
        </w:tc>
        <w:tc>
          <w:tcPr>
            <w:tcW w:w="1193" w:type="dxa"/>
          </w:tcPr>
          <w:p w14:paraId="4BD5B847" w14:textId="272DA5F4" w:rsidR="00252C40" w:rsidRPr="00F43205" w:rsidRDefault="00252C40" w:rsidP="001A264F">
            <w:pPr>
              <w:spacing w:line="240" w:lineRule="auto"/>
              <w:jc w:val="center"/>
              <w:rPr>
                <w:sz w:val="20"/>
                <w:szCs w:val="16"/>
              </w:rPr>
            </w:pPr>
            <w:r>
              <w:rPr>
                <w:sz w:val="20"/>
                <w:szCs w:val="16"/>
              </w:rPr>
              <w:t>.</w:t>
            </w:r>
            <w:r w:rsidR="00C1466C">
              <w:rPr>
                <w:sz w:val="20"/>
                <w:szCs w:val="16"/>
              </w:rPr>
              <w:t>870</w:t>
            </w:r>
          </w:p>
        </w:tc>
        <w:tc>
          <w:tcPr>
            <w:tcW w:w="3075" w:type="dxa"/>
            <w:vMerge w:val="restart"/>
          </w:tcPr>
          <w:p w14:paraId="4889F1D9" w14:textId="3CA4F03E" w:rsidR="00103A8D" w:rsidRDefault="00103A8D" w:rsidP="00103A8D">
            <w:pPr>
              <w:spacing w:line="240" w:lineRule="auto"/>
              <w:jc w:val="center"/>
              <w:rPr>
                <w:sz w:val="20"/>
                <w:szCs w:val="16"/>
              </w:rPr>
            </w:pPr>
            <w:r>
              <w:rPr>
                <w:sz w:val="20"/>
                <w:szCs w:val="16"/>
              </w:rPr>
              <w:t>AVE = .5</w:t>
            </w:r>
            <w:r w:rsidR="000C49F3">
              <w:rPr>
                <w:sz w:val="20"/>
                <w:szCs w:val="16"/>
              </w:rPr>
              <w:t>12</w:t>
            </w:r>
          </w:p>
          <w:p w14:paraId="6F0FF5EF" w14:textId="7B9B84E2" w:rsidR="00103A8D" w:rsidRDefault="00103A8D" w:rsidP="00103A8D">
            <w:pPr>
              <w:spacing w:line="240" w:lineRule="auto"/>
              <w:jc w:val="center"/>
              <w:rPr>
                <w:sz w:val="20"/>
                <w:szCs w:val="16"/>
              </w:rPr>
            </w:pPr>
            <w:r>
              <w:rPr>
                <w:sz w:val="20"/>
                <w:szCs w:val="16"/>
              </w:rPr>
              <w:t>CR = .</w:t>
            </w:r>
            <w:r w:rsidR="008D31C5">
              <w:rPr>
                <w:sz w:val="20"/>
                <w:szCs w:val="16"/>
              </w:rPr>
              <w:t>7</w:t>
            </w:r>
            <w:r w:rsidR="000C49F3">
              <w:rPr>
                <w:sz w:val="20"/>
                <w:szCs w:val="16"/>
              </w:rPr>
              <w:t>59</w:t>
            </w:r>
          </w:p>
          <w:p w14:paraId="610B5089" w14:textId="263F7B58" w:rsidR="00A23187" w:rsidRPr="00F43205" w:rsidRDefault="00103A8D" w:rsidP="00F2411C">
            <w:pPr>
              <w:spacing w:line="240" w:lineRule="auto"/>
              <w:jc w:val="center"/>
              <w:rPr>
                <w:sz w:val="20"/>
                <w:szCs w:val="16"/>
              </w:rPr>
            </w:pPr>
            <w:r>
              <w:rPr>
                <w:sz w:val="20"/>
                <w:szCs w:val="16"/>
              </w:rPr>
              <w:t xml:space="preserve">α = </w:t>
            </w:r>
            <w:r w:rsidR="006959E4">
              <w:rPr>
                <w:sz w:val="20"/>
                <w:szCs w:val="16"/>
              </w:rPr>
              <w:t>.</w:t>
            </w:r>
            <w:r>
              <w:rPr>
                <w:sz w:val="20"/>
                <w:szCs w:val="16"/>
              </w:rPr>
              <w:t>7</w:t>
            </w:r>
            <w:r w:rsidR="000C49F3">
              <w:rPr>
                <w:sz w:val="20"/>
                <w:szCs w:val="16"/>
              </w:rPr>
              <w:t>05</w:t>
            </w:r>
          </w:p>
        </w:tc>
      </w:tr>
      <w:tr w:rsidR="004F56F6" w:rsidRPr="00F43205" w14:paraId="53A08A15" w14:textId="77777777" w:rsidTr="006959E4">
        <w:trPr>
          <w:jc w:val="center"/>
        </w:trPr>
        <w:tc>
          <w:tcPr>
            <w:tcW w:w="1556" w:type="dxa"/>
          </w:tcPr>
          <w:p w14:paraId="726DEA38" w14:textId="77777777" w:rsidR="004F56F6" w:rsidRDefault="004F56F6" w:rsidP="004F56F6">
            <w:pPr>
              <w:spacing w:line="240" w:lineRule="auto"/>
              <w:rPr>
                <w:sz w:val="20"/>
                <w:szCs w:val="16"/>
              </w:rPr>
            </w:pPr>
            <w:r>
              <w:rPr>
                <w:sz w:val="20"/>
                <w:szCs w:val="16"/>
              </w:rPr>
              <w:t>ET → ET2</w:t>
            </w:r>
          </w:p>
          <w:p w14:paraId="0F57D3C4" w14:textId="4F7ECB0D" w:rsidR="004F56F6" w:rsidRDefault="004F56F6" w:rsidP="004F56F6">
            <w:pPr>
              <w:spacing w:line="240" w:lineRule="auto"/>
              <w:rPr>
                <w:sz w:val="20"/>
                <w:szCs w:val="16"/>
              </w:rPr>
            </w:pPr>
            <w:r>
              <w:rPr>
                <w:sz w:val="20"/>
                <w:szCs w:val="16"/>
              </w:rPr>
              <w:t>ET → ET</w:t>
            </w:r>
            <w:r w:rsidR="001C007A">
              <w:rPr>
                <w:sz w:val="20"/>
                <w:szCs w:val="16"/>
              </w:rPr>
              <w:t>3</w:t>
            </w:r>
          </w:p>
        </w:tc>
        <w:tc>
          <w:tcPr>
            <w:tcW w:w="1193" w:type="dxa"/>
          </w:tcPr>
          <w:p w14:paraId="305E16BF" w14:textId="77777777" w:rsidR="004F56F6" w:rsidRDefault="004F56F6" w:rsidP="004F56F6">
            <w:pPr>
              <w:spacing w:line="240" w:lineRule="auto"/>
              <w:jc w:val="center"/>
              <w:rPr>
                <w:sz w:val="20"/>
                <w:szCs w:val="16"/>
              </w:rPr>
            </w:pPr>
            <w:r>
              <w:rPr>
                <w:sz w:val="20"/>
                <w:szCs w:val="16"/>
              </w:rPr>
              <w:t>.895</w:t>
            </w:r>
          </w:p>
          <w:p w14:paraId="3763D2A1" w14:textId="7F7AEE1D" w:rsidR="004F56F6" w:rsidRDefault="004F56F6" w:rsidP="004F56F6">
            <w:pPr>
              <w:spacing w:line="240" w:lineRule="auto"/>
              <w:jc w:val="center"/>
              <w:rPr>
                <w:sz w:val="20"/>
                <w:szCs w:val="16"/>
              </w:rPr>
            </w:pPr>
            <w:r>
              <w:rPr>
                <w:sz w:val="20"/>
                <w:szCs w:val="16"/>
              </w:rPr>
              <w:t>.779</w:t>
            </w:r>
          </w:p>
        </w:tc>
        <w:tc>
          <w:tcPr>
            <w:tcW w:w="3075" w:type="dxa"/>
            <w:vMerge/>
          </w:tcPr>
          <w:p w14:paraId="0B944ED2" w14:textId="77777777" w:rsidR="004F56F6" w:rsidRDefault="004F56F6" w:rsidP="004F56F6">
            <w:pPr>
              <w:spacing w:line="240" w:lineRule="auto"/>
              <w:jc w:val="center"/>
              <w:rPr>
                <w:sz w:val="20"/>
                <w:szCs w:val="16"/>
              </w:rPr>
            </w:pPr>
          </w:p>
        </w:tc>
      </w:tr>
      <w:tr w:rsidR="004F56F6" w:rsidRPr="00F43205" w14:paraId="192F18A8" w14:textId="77777777" w:rsidTr="006959E4">
        <w:trPr>
          <w:jc w:val="center"/>
        </w:trPr>
        <w:tc>
          <w:tcPr>
            <w:tcW w:w="1556" w:type="dxa"/>
          </w:tcPr>
          <w:p w14:paraId="1E28E5DE" w14:textId="09A10EBF" w:rsidR="004F56F6" w:rsidRDefault="004F56F6" w:rsidP="004F56F6">
            <w:pPr>
              <w:spacing w:line="240" w:lineRule="auto"/>
              <w:rPr>
                <w:sz w:val="20"/>
                <w:szCs w:val="16"/>
              </w:rPr>
            </w:pPr>
            <w:r>
              <w:rPr>
                <w:sz w:val="20"/>
                <w:szCs w:val="16"/>
              </w:rPr>
              <w:t>ET → ET4</w:t>
            </w:r>
          </w:p>
        </w:tc>
        <w:tc>
          <w:tcPr>
            <w:tcW w:w="1193" w:type="dxa"/>
          </w:tcPr>
          <w:p w14:paraId="220744C6" w14:textId="6DD8414E" w:rsidR="004F56F6" w:rsidRDefault="004F56F6" w:rsidP="004F56F6">
            <w:pPr>
              <w:spacing w:line="240" w:lineRule="auto"/>
              <w:jc w:val="center"/>
              <w:rPr>
                <w:sz w:val="20"/>
                <w:szCs w:val="16"/>
              </w:rPr>
            </w:pPr>
            <w:r>
              <w:rPr>
                <w:sz w:val="20"/>
                <w:szCs w:val="16"/>
              </w:rPr>
              <w:t>.797</w:t>
            </w:r>
          </w:p>
        </w:tc>
        <w:tc>
          <w:tcPr>
            <w:tcW w:w="3075" w:type="dxa"/>
            <w:vMerge/>
          </w:tcPr>
          <w:p w14:paraId="0BE63294" w14:textId="77777777" w:rsidR="004F56F6" w:rsidRPr="00F43205" w:rsidRDefault="004F56F6" w:rsidP="004F56F6">
            <w:pPr>
              <w:spacing w:line="240" w:lineRule="auto"/>
              <w:rPr>
                <w:sz w:val="20"/>
                <w:szCs w:val="16"/>
              </w:rPr>
            </w:pPr>
          </w:p>
        </w:tc>
      </w:tr>
      <w:tr w:rsidR="004F56F6" w:rsidRPr="00F43205" w14:paraId="7111450D" w14:textId="77777777" w:rsidTr="006959E4">
        <w:trPr>
          <w:jc w:val="center"/>
        </w:trPr>
        <w:tc>
          <w:tcPr>
            <w:tcW w:w="1556" w:type="dxa"/>
          </w:tcPr>
          <w:p w14:paraId="22AF6E58" w14:textId="527AB85A" w:rsidR="004F56F6" w:rsidRDefault="004F56F6" w:rsidP="004F56F6">
            <w:pPr>
              <w:spacing w:line="240" w:lineRule="auto"/>
              <w:rPr>
                <w:sz w:val="20"/>
                <w:szCs w:val="16"/>
              </w:rPr>
            </w:pPr>
            <w:r>
              <w:rPr>
                <w:sz w:val="20"/>
                <w:szCs w:val="16"/>
              </w:rPr>
              <w:t>TO → TO1</w:t>
            </w:r>
          </w:p>
        </w:tc>
        <w:tc>
          <w:tcPr>
            <w:tcW w:w="1193" w:type="dxa"/>
          </w:tcPr>
          <w:p w14:paraId="3F28FA90" w14:textId="4810AC7A" w:rsidR="004F56F6" w:rsidRPr="00F43205" w:rsidRDefault="004F56F6" w:rsidP="004F56F6">
            <w:pPr>
              <w:spacing w:line="240" w:lineRule="auto"/>
              <w:jc w:val="center"/>
              <w:rPr>
                <w:sz w:val="20"/>
                <w:szCs w:val="16"/>
              </w:rPr>
            </w:pPr>
            <w:r>
              <w:rPr>
                <w:sz w:val="20"/>
                <w:szCs w:val="16"/>
              </w:rPr>
              <w:t>.765</w:t>
            </w:r>
          </w:p>
        </w:tc>
        <w:tc>
          <w:tcPr>
            <w:tcW w:w="3075" w:type="dxa"/>
            <w:vMerge w:val="restart"/>
          </w:tcPr>
          <w:p w14:paraId="7543E034" w14:textId="4E321E35" w:rsidR="004F56F6" w:rsidRDefault="004F56F6" w:rsidP="004F56F6">
            <w:pPr>
              <w:spacing w:line="240" w:lineRule="auto"/>
              <w:jc w:val="center"/>
              <w:rPr>
                <w:sz w:val="20"/>
                <w:szCs w:val="16"/>
              </w:rPr>
            </w:pPr>
            <w:r>
              <w:rPr>
                <w:sz w:val="20"/>
                <w:szCs w:val="16"/>
              </w:rPr>
              <w:t>AVE = .617</w:t>
            </w:r>
          </w:p>
          <w:p w14:paraId="47FD3475" w14:textId="0BAB2DD1" w:rsidR="004F56F6" w:rsidRDefault="004F56F6" w:rsidP="004F56F6">
            <w:pPr>
              <w:spacing w:line="240" w:lineRule="auto"/>
              <w:jc w:val="center"/>
              <w:rPr>
                <w:sz w:val="20"/>
                <w:szCs w:val="16"/>
              </w:rPr>
            </w:pPr>
            <w:r>
              <w:rPr>
                <w:sz w:val="20"/>
                <w:szCs w:val="16"/>
              </w:rPr>
              <w:t>CR = . 865</w:t>
            </w:r>
          </w:p>
          <w:p w14:paraId="222142ED" w14:textId="7457EB28" w:rsidR="004F56F6" w:rsidRPr="00F43205" w:rsidRDefault="004F56F6" w:rsidP="004F56F6">
            <w:pPr>
              <w:spacing w:line="240" w:lineRule="auto"/>
              <w:jc w:val="center"/>
              <w:rPr>
                <w:sz w:val="20"/>
                <w:szCs w:val="16"/>
              </w:rPr>
            </w:pPr>
            <w:r>
              <w:rPr>
                <w:sz w:val="20"/>
                <w:szCs w:val="16"/>
              </w:rPr>
              <w:t>α = .791</w:t>
            </w:r>
          </w:p>
        </w:tc>
      </w:tr>
      <w:tr w:rsidR="004F56F6" w:rsidRPr="00F43205" w14:paraId="0FDDC14A" w14:textId="77777777" w:rsidTr="006959E4">
        <w:trPr>
          <w:jc w:val="center"/>
        </w:trPr>
        <w:tc>
          <w:tcPr>
            <w:tcW w:w="1556" w:type="dxa"/>
          </w:tcPr>
          <w:p w14:paraId="36177C6E" w14:textId="4568F262" w:rsidR="004F56F6" w:rsidRDefault="004F56F6" w:rsidP="004F56F6">
            <w:pPr>
              <w:spacing w:line="240" w:lineRule="auto"/>
              <w:rPr>
                <w:sz w:val="20"/>
                <w:szCs w:val="16"/>
              </w:rPr>
            </w:pPr>
            <w:r>
              <w:rPr>
                <w:sz w:val="20"/>
                <w:szCs w:val="16"/>
              </w:rPr>
              <w:t>TO → TO2</w:t>
            </w:r>
          </w:p>
        </w:tc>
        <w:tc>
          <w:tcPr>
            <w:tcW w:w="1193" w:type="dxa"/>
          </w:tcPr>
          <w:p w14:paraId="3E0D622D" w14:textId="4A48362C" w:rsidR="004F56F6" w:rsidRPr="00F43205" w:rsidRDefault="004F56F6" w:rsidP="004F56F6">
            <w:pPr>
              <w:spacing w:line="240" w:lineRule="auto"/>
              <w:jc w:val="center"/>
              <w:rPr>
                <w:sz w:val="20"/>
                <w:szCs w:val="16"/>
              </w:rPr>
            </w:pPr>
            <w:r>
              <w:rPr>
                <w:sz w:val="20"/>
                <w:szCs w:val="16"/>
              </w:rPr>
              <w:t>.875</w:t>
            </w:r>
          </w:p>
        </w:tc>
        <w:tc>
          <w:tcPr>
            <w:tcW w:w="3075" w:type="dxa"/>
            <w:vMerge/>
          </w:tcPr>
          <w:p w14:paraId="227C2680" w14:textId="77777777" w:rsidR="004F56F6" w:rsidRPr="00F43205" w:rsidRDefault="004F56F6" w:rsidP="004F56F6">
            <w:pPr>
              <w:spacing w:line="240" w:lineRule="auto"/>
              <w:rPr>
                <w:sz w:val="20"/>
                <w:szCs w:val="16"/>
              </w:rPr>
            </w:pPr>
          </w:p>
        </w:tc>
      </w:tr>
      <w:tr w:rsidR="004F56F6" w:rsidRPr="00F43205" w14:paraId="31C0E5A1" w14:textId="77777777" w:rsidTr="006959E4">
        <w:trPr>
          <w:jc w:val="center"/>
        </w:trPr>
        <w:tc>
          <w:tcPr>
            <w:tcW w:w="1556" w:type="dxa"/>
          </w:tcPr>
          <w:p w14:paraId="4376A19A" w14:textId="36A37D08" w:rsidR="004F56F6" w:rsidRDefault="004F56F6" w:rsidP="004F56F6">
            <w:pPr>
              <w:spacing w:line="240" w:lineRule="auto"/>
              <w:rPr>
                <w:sz w:val="20"/>
                <w:szCs w:val="16"/>
              </w:rPr>
            </w:pPr>
            <w:r>
              <w:rPr>
                <w:sz w:val="20"/>
                <w:szCs w:val="16"/>
              </w:rPr>
              <w:t>TO → TO3</w:t>
            </w:r>
          </w:p>
        </w:tc>
        <w:tc>
          <w:tcPr>
            <w:tcW w:w="1193" w:type="dxa"/>
          </w:tcPr>
          <w:p w14:paraId="39226816" w14:textId="3A765A1C" w:rsidR="004F56F6" w:rsidRPr="00F43205" w:rsidRDefault="004F56F6" w:rsidP="004F56F6">
            <w:pPr>
              <w:spacing w:line="240" w:lineRule="auto"/>
              <w:jc w:val="center"/>
              <w:rPr>
                <w:sz w:val="20"/>
                <w:szCs w:val="16"/>
              </w:rPr>
            </w:pPr>
            <w:r>
              <w:rPr>
                <w:sz w:val="20"/>
                <w:szCs w:val="16"/>
              </w:rPr>
              <w:t>.786</w:t>
            </w:r>
          </w:p>
        </w:tc>
        <w:tc>
          <w:tcPr>
            <w:tcW w:w="3075" w:type="dxa"/>
            <w:vMerge/>
          </w:tcPr>
          <w:p w14:paraId="77FFF758" w14:textId="77777777" w:rsidR="004F56F6" w:rsidRPr="00F43205" w:rsidRDefault="004F56F6" w:rsidP="004F56F6">
            <w:pPr>
              <w:spacing w:line="240" w:lineRule="auto"/>
              <w:rPr>
                <w:sz w:val="20"/>
                <w:szCs w:val="16"/>
              </w:rPr>
            </w:pPr>
          </w:p>
        </w:tc>
      </w:tr>
      <w:tr w:rsidR="004F56F6" w:rsidRPr="00F43205" w14:paraId="2DFF2F59" w14:textId="77777777" w:rsidTr="006959E4">
        <w:trPr>
          <w:jc w:val="center"/>
        </w:trPr>
        <w:tc>
          <w:tcPr>
            <w:tcW w:w="1556" w:type="dxa"/>
          </w:tcPr>
          <w:p w14:paraId="3B1D183D" w14:textId="614D9E2F" w:rsidR="004F56F6" w:rsidRDefault="004F56F6" w:rsidP="004F56F6">
            <w:pPr>
              <w:spacing w:line="240" w:lineRule="auto"/>
              <w:rPr>
                <w:sz w:val="20"/>
                <w:szCs w:val="16"/>
              </w:rPr>
            </w:pPr>
            <w:r>
              <w:rPr>
                <w:sz w:val="20"/>
                <w:szCs w:val="16"/>
              </w:rPr>
              <w:t>TO → TO4</w:t>
            </w:r>
          </w:p>
        </w:tc>
        <w:tc>
          <w:tcPr>
            <w:tcW w:w="1193" w:type="dxa"/>
          </w:tcPr>
          <w:p w14:paraId="6637C0A3" w14:textId="09BD6B88" w:rsidR="004F56F6" w:rsidRDefault="004F56F6" w:rsidP="004F56F6">
            <w:pPr>
              <w:spacing w:line="240" w:lineRule="auto"/>
              <w:jc w:val="center"/>
              <w:rPr>
                <w:sz w:val="20"/>
                <w:szCs w:val="16"/>
              </w:rPr>
            </w:pPr>
            <w:r>
              <w:rPr>
                <w:sz w:val="20"/>
                <w:szCs w:val="16"/>
              </w:rPr>
              <w:t>.706</w:t>
            </w:r>
          </w:p>
        </w:tc>
        <w:tc>
          <w:tcPr>
            <w:tcW w:w="3075" w:type="dxa"/>
          </w:tcPr>
          <w:p w14:paraId="03E61D50" w14:textId="77777777" w:rsidR="004F56F6" w:rsidRPr="00F43205" w:rsidRDefault="004F56F6" w:rsidP="004F56F6">
            <w:pPr>
              <w:spacing w:line="240" w:lineRule="auto"/>
              <w:rPr>
                <w:sz w:val="20"/>
                <w:szCs w:val="16"/>
              </w:rPr>
            </w:pPr>
          </w:p>
        </w:tc>
      </w:tr>
    </w:tbl>
    <w:p w14:paraId="679A7A8F" w14:textId="77777777" w:rsidR="00CA484D" w:rsidRDefault="00CA484D" w:rsidP="004344AF">
      <w:pPr>
        <w:rPr>
          <w:lang w:val="en-US"/>
        </w:rPr>
      </w:pPr>
    </w:p>
    <w:p w14:paraId="1AAF5ABF" w14:textId="12AAB5C7" w:rsidR="00F43205" w:rsidRDefault="00CA484D" w:rsidP="004344AF">
      <w:pPr>
        <w:rPr>
          <w:lang w:val="en-US"/>
        </w:rPr>
      </w:pPr>
      <w:r>
        <w:rPr>
          <w:lang w:val="en-US"/>
        </w:rPr>
        <w:t xml:space="preserve">Ketentuan </w:t>
      </w:r>
      <w:r w:rsidR="00063A68">
        <w:rPr>
          <w:lang w:val="en-US"/>
        </w:rPr>
        <w:t>v</w:t>
      </w:r>
      <w:r>
        <w:rPr>
          <w:lang w:val="en-US"/>
        </w:rPr>
        <w:t xml:space="preserve">aliditas diskriminan </w:t>
      </w:r>
      <w:r w:rsidRPr="00CA484D">
        <w:rPr>
          <w:lang w:val="en-US"/>
        </w:rPr>
        <w:t xml:space="preserve">dievaluasi dengan </w:t>
      </w:r>
      <w:r>
        <w:rPr>
          <w:lang w:val="en-US"/>
        </w:rPr>
        <w:t xml:space="preserve">melihat nilai dari </w:t>
      </w:r>
      <w:r w:rsidRPr="00CA484D">
        <w:rPr>
          <w:lang w:val="en-US"/>
        </w:rPr>
        <w:t xml:space="preserve">uji Fornell </w:t>
      </w:r>
      <w:r w:rsidR="00063A68">
        <w:rPr>
          <w:lang w:val="en-US"/>
        </w:rPr>
        <w:t xml:space="preserve">&amp; </w:t>
      </w:r>
      <w:r w:rsidRPr="00CA484D">
        <w:rPr>
          <w:lang w:val="en-US"/>
        </w:rPr>
        <w:t>Larcker</w:t>
      </w:r>
      <w:r w:rsidR="00063A68">
        <w:rPr>
          <w:lang w:val="en-US"/>
        </w:rPr>
        <w:t xml:space="preserve"> dan </w:t>
      </w:r>
      <w:r w:rsidRPr="00CA484D">
        <w:rPr>
          <w:lang w:val="en-US"/>
        </w:rPr>
        <w:t xml:space="preserve">rasio monotrait Heterotrait (HTMT) </w:t>
      </w:r>
      <w:r w:rsidR="00063A68">
        <w:rPr>
          <w:lang w:val="en-US"/>
        </w:rPr>
        <w:t xml:space="preserve">dari </w:t>
      </w:r>
      <w:r>
        <w:rPr>
          <w:lang w:val="en-US"/>
        </w:rPr>
        <w:t xml:space="preserve">nilai </w:t>
      </w:r>
      <w:r w:rsidR="00063A68">
        <w:rPr>
          <w:lang w:val="en-US"/>
        </w:rPr>
        <w:t>ambang batas</w:t>
      </w:r>
      <w:r w:rsidR="00973EA7">
        <w:rPr>
          <w:lang w:val="en-US"/>
        </w:rPr>
        <w:t>. N</w:t>
      </w:r>
      <w:r w:rsidR="00973EA7">
        <w:t xml:space="preserve">ilai </w:t>
      </w:r>
      <w:r w:rsidR="00973EA7" w:rsidRPr="00CA484D">
        <w:rPr>
          <w:lang w:val="en-US"/>
        </w:rPr>
        <w:t xml:space="preserve">uji Fornell dan Larcker </w:t>
      </w:r>
      <w:r w:rsidR="00973EA7">
        <w:rPr>
          <w:lang w:val="en-US"/>
        </w:rPr>
        <w:t>seperti yang ditunjukkan pada tabel 3 antara setiap pasangan pada konstruksi laten variabel ditemukan lebih rendah dari AVE terkait (</w:t>
      </w:r>
      <w:r w:rsidR="00C04B78">
        <w:rPr>
          <w:color w:val="00B0F0"/>
          <w:lang w:val="en-US"/>
        </w:rPr>
        <w:t>Fornel &amp; Larker (1981</w:t>
      </w:r>
      <w:r w:rsidR="00973EA7">
        <w:rPr>
          <w:lang w:val="en-US"/>
        </w:rPr>
        <w:t xml:space="preserve">). </w:t>
      </w:r>
      <w:r w:rsidR="00E56052">
        <w:rPr>
          <w:lang w:val="en-US"/>
        </w:rPr>
        <w:t>Selain itu, nilai kriteria rasio HTMT yang diperoleh berada dibawah ambang batas disarankan sebesar 0.85 (</w:t>
      </w:r>
      <w:r w:rsidR="006472D4">
        <w:rPr>
          <w:color w:val="00B0F0"/>
          <w:lang w:val="en-US"/>
        </w:rPr>
        <w:t>Kline, 2015</w:t>
      </w:r>
      <w:r w:rsidR="00E56052">
        <w:rPr>
          <w:lang w:val="en-US"/>
        </w:rPr>
        <w:t xml:space="preserve">) dan </w:t>
      </w:r>
      <w:r w:rsidR="00D235DC">
        <w:rPr>
          <w:lang w:val="en-US"/>
        </w:rPr>
        <w:t xml:space="preserve">hal </w:t>
      </w:r>
      <w:r w:rsidR="00E56052">
        <w:rPr>
          <w:lang w:val="en-US"/>
        </w:rPr>
        <w:t xml:space="preserve">ini menunjukkan </w:t>
      </w:r>
      <w:r w:rsidR="00D235DC">
        <w:rPr>
          <w:lang w:val="en-US"/>
        </w:rPr>
        <w:t>validitas diskriminan dalam penelitian ini terpenuhi</w:t>
      </w:r>
      <w:r w:rsidR="006B2486">
        <w:rPr>
          <w:lang w:val="en-US"/>
        </w:rPr>
        <w:t>.</w:t>
      </w:r>
    </w:p>
    <w:p w14:paraId="27F39B6B" w14:textId="77777777" w:rsidR="006B2486" w:rsidRPr="00973EA7" w:rsidRDefault="006B2486" w:rsidP="004344AF">
      <w:pPr>
        <w:rPr>
          <w:lang w:val="en-US"/>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992"/>
        <w:gridCol w:w="992"/>
        <w:gridCol w:w="993"/>
        <w:gridCol w:w="992"/>
        <w:gridCol w:w="992"/>
      </w:tblGrid>
      <w:tr w:rsidR="000B340C" w:rsidRPr="0029054C" w14:paraId="25EE3F38" w14:textId="77777777" w:rsidTr="00973EA7">
        <w:trPr>
          <w:jc w:val="center"/>
        </w:trPr>
        <w:tc>
          <w:tcPr>
            <w:tcW w:w="5920" w:type="dxa"/>
            <w:gridSpan w:val="6"/>
            <w:tcBorders>
              <w:top w:val="single" w:sz="4" w:space="0" w:color="auto"/>
              <w:bottom w:val="single" w:sz="4" w:space="0" w:color="auto"/>
            </w:tcBorders>
            <w:shd w:val="solid" w:color="auto" w:fill="auto"/>
          </w:tcPr>
          <w:p w14:paraId="6B1F2C2A" w14:textId="5D9E7FF1" w:rsidR="000B340C" w:rsidRDefault="000B340C" w:rsidP="0029054C">
            <w:pPr>
              <w:spacing w:line="240" w:lineRule="auto"/>
              <w:jc w:val="center"/>
              <w:rPr>
                <w:sz w:val="20"/>
                <w:szCs w:val="16"/>
              </w:rPr>
            </w:pPr>
            <w:r w:rsidRPr="00C00F43">
              <w:rPr>
                <w:sz w:val="18"/>
                <w:szCs w:val="14"/>
                <w:shd w:val="solid" w:color="auto" w:fill="auto"/>
              </w:rPr>
              <w:t>Table 3. Discriminant validity: Fornell-Larcker (below the main diagonal) and Heterotrait-Monotrait Ratio (HTMT) (above the main diagonal</w:t>
            </w:r>
            <w:r w:rsidRPr="000B340C">
              <w:rPr>
                <w:sz w:val="18"/>
                <w:szCs w:val="14"/>
              </w:rPr>
              <w:t>)</w:t>
            </w:r>
          </w:p>
        </w:tc>
      </w:tr>
      <w:tr w:rsidR="0029054C" w:rsidRPr="0029054C" w14:paraId="40A6610F" w14:textId="40B51B7B" w:rsidTr="00516365">
        <w:trPr>
          <w:jc w:val="center"/>
        </w:trPr>
        <w:tc>
          <w:tcPr>
            <w:tcW w:w="959" w:type="dxa"/>
            <w:tcBorders>
              <w:top w:val="single" w:sz="4" w:space="0" w:color="auto"/>
              <w:bottom w:val="single" w:sz="4" w:space="0" w:color="auto"/>
            </w:tcBorders>
          </w:tcPr>
          <w:p w14:paraId="75A64CE9" w14:textId="77777777" w:rsidR="0029054C" w:rsidRPr="00C00F43" w:rsidRDefault="0029054C" w:rsidP="0029054C">
            <w:pPr>
              <w:spacing w:line="240" w:lineRule="auto"/>
              <w:rPr>
                <w:b/>
                <w:bCs/>
                <w:sz w:val="20"/>
                <w:szCs w:val="16"/>
              </w:rPr>
            </w:pPr>
          </w:p>
        </w:tc>
        <w:tc>
          <w:tcPr>
            <w:tcW w:w="992" w:type="dxa"/>
            <w:tcBorders>
              <w:top w:val="single" w:sz="4" w:space="0" w:color="auto"/>
              <w:bottom w:val="single" w:sz="4" w:space="0" w:color="auto"/>
            </w:tcBorders>
          </w:tcPr>
          <w:p w14:paraId="07E16AD4" w14:textId="27603D77" w:rsidR="0029054C" w:rsidRPr="00C00F43" w:rsidRDefault="0029054C" w:rsidP="0029054C">
            <w:pPr>
              <w:spacing w:line="240" w:lineRule="auto"/>
              <w:jc w:val="center"/>
              <w:rPr>
                <w:b/>
                <w:bCs/>
                <w:sz w:val="20"/>
                <w:szCs w:val="16"/>
              </w:rPr>
            </w:pPr>
            <w:r w:rsidRPr="00C00F43">
              <w:rPr>
                <w:b/>
                <w:bCs/>
                <w:sz w:val="20"/>
                <w:szCs w:val="16"/>
              </w:rPr>
              <w:t>TS</w:t>
            </w:r>
          </w:p>
        </w:tc>
        <w:tc>
          <w:tcPr>
            <w:tcW w:w="992" w:type="dxa"/>
            <w:tcBorders>
              <w:top w:val="single" w:sz="4" w:space="0" w:color="auto"/>
              <w:bottom w:val="single" w:sz="4" w:space="0" w:color="auto"/>
            </w:tcBorders>
          </w:tcPr>
          <w:p w14:paraId="6DCBF4F2" w14:textId="7BE511EF" w:rsidR="0029054C" w:rsidRPr="00C00F43" w:rsidRDefault="0029054C" w:rsidP="0029054C">
            <w:pPr>
              <w:spacing w:line="240" w:lineRule="auto"/>
              <w:jc w:val="center"/>
              <w:rPr>
                <w:b/>
                <w:bCs/>
                <w:sz w:val="20"/>
                <w:szCs w:val="16"/>
              </w:rPr>
            </w:pPr>
            <w:r w:rsidRPr="00C00F43">
              <w:rPr>
                <w:b/>
                <w:bCs/>
                <w:sz w:val="20"/>
                <w:szCs w:val="16"/>
              </w:rPr>
              <w:t>LS</w:t>
            </w:r>
          </w:p>
        </w:tc>
        <w:tc>
          <w:tcPr>
            <w:tcW w:w="993" w:type="dxa"/>
            <w:tcBorders>
              <w:top w:val="single" w:sz="4" w:space="0" w:color="auto"/>
              <w:bottom w:val="single" w:sz="4" w:space="0" w:color="auto"/>
            </w:tcBorders>
          </w:tcPr>
          <w:p w14:paraId="4480CF04" w14:textId="4E6AE1F6" w:rsidR="0029054C" w:rsidRPr="00C00F43" w:rsidRDefault="0029054C" w:rsidP="0029054C">
            <w:pPr>
              <w:spacing w:line="240" w:lineRule="auto"/>
              <w:jc w:val="center"/>
              <w:rPr>
                <w:b/>
                <w:bCs/>
                <w:sz w:val="20"/>
                <w:szCs w:val="16"/>
              </w:rPr>
            </w:pPr>
            <w:r w:rsidRPr="00C00F43">
              <w:rPr>
                <w:b/>
                <w:bCs/>
                <w:sz w:val="20"/>
                <w:szCs w:val="16"/>
              </w:rPr>
              <w:t>PD</w:t>
            </w:r>
          </w:p>
        </w:tc>
        <w:tc>
          <w:tcPr>
            <w:tcW w:w="992" w:type="dxa"/>
            <w:tcBorders>
              <w:top w:val="single" w:sz="4" w:space="0" w:color="auto"/>
              <w:bottom w:val="single" w:sz="4" w:space="0" w:color="auto"/>
            </w:tcBorders>
          </w:tcPr>
          <w:p w14:paraId="1C92A3E6" w14:textId="37B1B747" w:rsidR="0029054C" w:rsidRPr="00C00F43" w:rsidRDefault="0029054C" w:rsidP="0029054C">
            <w:pPr>
              <w:spacing w:line="240" w:lineRule="auto"/>
              <w:jc w:val="center"/>
              <w:rPr>
                <w:b/>
                <w:bCs/>
                <w:sz w:val="20"/>
                <w:szCs w:val="16"/>
              </w:rPr>
            </w:pPr>
            <w:r w:rsidRPr="00C00F43">
              <w:rPr>
                <w:b/>
                <w:bCs/>
                <w:sz w:val="20"/>
                <w:szCs w:val="16"/>
              </w:rPr>
              <w:t>ET</w:t>
            </w:r>
          </w:p>
        </w:tc>
        <w:tc>
          <w:tcPr>
            <w:tcW w:w="992" w:type="dxa"/>
            <w:tcBorders>
              <w:top w:val="single" w:sz="4" w:space="0" w:color="auto"/>
              <w:bottom w:val="single" w:sz="4" w:space="0" w:color="auto"/>
            </w:tcBorders>
          </w:tcPr>
          <w:p w14:paraId="7EEC0F5A" w14:textId="40069443" w:rsidR="0029054C" w:rsidRPr="00C00F43" w:rsidRDefault="0029054C" w:rsidP="0029054C">
            <w:pPr>
              <w:spacing w:line="240" w:lineRule="auto"/>
              <w:jc w:val="center"/>
              <w:rPr>
                <w:b/>
                <w:bCs/>
                <w:sz w:val="20"/>
                <w:szCs w:val="16"/>
              </w:rPr>
            </w:pPr>
            <w:r w:rsidRPr="00C00F43">
              <w:rPr>
                <w:b/>
                <w:bCs/>
                <w:sz w:val="20"/>
                <w:szCs w:val="16"/>
              </w:rPr>
              <w:t>TO</w:t>
            </w:r>
          </w:p>
        </w:tc>
      </w:tr>
      <w:tr w:rsidR="0029054C" w:rsidRPr="0029054C" w14:paraId="39D35905" w14:textId="07211AFE" w:rsidTr="00516365">
        <w:trPr>
          <w:jc w:val="center"/>
        </w:trPr>
        <w:tc>
          <w:tcPr>
            <w:tcW w:w="959" w:type="dxa"/>
            <w:tcBorders>
              <w:top w:val="single" w:sz="4" w:space="0" w:color="auto"/>
            </w:tcBorders>
          </w:tcPr>
          <w:p w14:paraId="49E64042" w14:textId="15F2BF3F" w:rsidR="0029054C" w:rsidRPr="0029054C" w:rsidRDefault="0029054C" w:rsidP="0029054C">
            <w:pPr>
              <w:spacing w:line="240" w:lineRule="auto"/>
              <w:rPr>
                <w:sz w:val="20"/>
                <w:szCs w:val="16"/>
              </w:rPr>
            </w:pPr>
            <w:r>
              <w:rPr>
                <w:sz w:val="20"/>
                <w:szCs w:val="16"/>
              </w:rPr>
              <w:t>TS</w:t>
            </w:r>
          </w:p>
        </w:tc>
        <w:tc>
          <w:tcPr>
            <w:tcW w:w="992" w:type="dxa"/>
            <w:tcBorders>
              <w:top w:val="single" w:sz="4" w:space="0" w:color="auto"/>
            </w:tcBorders>
          </w:tcPr>
          <w:p w14:paraId="213C0C94" w14:textId="5DBC03BD" w:rsidR="0029054C" w:rsidRPr="0029054C" w:rsidRDefault="0029054C" w:rsidP="0029054C">
            <w:pPr>
              <w:spacing w:line="240" w:lineRule="auto"/>
              <w:jc w:val="center"/>
              <w:rPr>
                <w:b/>
                <w:bCs/>
                <w:sz w:val="20"/>
                <w:szCs w:val="16"/>
              </w:rPr>
            </w:pPr>
            <w:r w:rsidRPr="0029054C">
              <w:rPr>
                <w:b/>
                <w:bCs/>
                <w:sz w:val="20"/>
                <w:szCs w:val="16"/>
              </w:rPr>
              <w:t>.7</w:t>
            </w:r>
            <w:r w:rsidR="00F2411C">
              <w:rPr>
                <w:b/>
                <w:bCs/>
                <w:sz w:val="20"/>
                <w:szCs w:val="16"/>
              </w:rPr>
              <w:t>46</w:t>
            </w:r>
          </w:p>
        </w:tc>
        <w:tc>
          <w:tcPr>
            <w:tcW w:w="992" w:type="dxa"/>
            <w:tcBorders>
              <w:top w:val="single" w:sz="4" w:space="0" w:color="auto"/>
            </w:tcBorders>
          </w:tcPr>
          <w:p w14:paraId="17BB5320" w14:textId="1B7401D2" w:rsidR="0029054C" w:rsidRPr="0029054C" w:rsidRDefault="0029054C" w:rsidP="0029054C">
            <w:pPr>
              <w:spacing w:line="240" w:lineRule="auto"/>
              <w:jc w:val="center"/>
              <w:rPr>
                <w:sz w:val="20"/>
                <w:szCs w:val="16"/>
              </w:rPr>
            </w:pPr>
            <w:r>
              <w:rPr>
                <w:sz w:val="20"/>
                <w:szCs w:val="16"/>
              </w:rPr>
              <w:t>.</w:t>
            </w:r>
            <w:r w:rsidR="00F2411C">
              <w:rPr>
                <w:sz w:val="20"/>
                <w:szCs w:val="16"/>
              </w:rPr>
              <w:t>234</w:t>
            </w:r>
          </w:p>
        </w:tc>
        <w:tc>
          <w:tcPr>
            <w:tcW w:w="993" w:type="dxa"/>
            <w:tcBorders>
              <w:top w:val="single" w:sz="4" w:space="0" w:color="auto"/>
            </w:tcBorders>
          </w:tcPr>
          <w:p w14:paraId="08709F70" w14:textId="65BDD6FC" w:rsidR="0029054C" w:rsidRPr="0029054C" w:rsidRDefault="0029054C" w:rsidP="0029054C">
            <w:pPr>
              <w:spacing w:line="240" w:lineRule="auto"/>
              <w:jc w:val="center"/>
              <w:rPr>
                <w:sz w:val="20"/>
                <w:szCs w:val="16"/>
              </w:rPr>
            </w:pPr>
            <w:r>
              <w:rPr>
                <w:sz w:val="20"/>
                <w:szCs w:val="16"/>
              </w:rPr>
              <w:t>.</w:t>
            </w:r>
            <w:r w:rsidR="00F2411C">
              <w:rPr>
                <w:sz w:val="20"/>
                <w:szCs w:val="16"/>
              </w:rPr>
              <w:t>089</w:t>
            </w:r>
            <w:r>
              <w:rPr>
                <w:sz w:val="20"/>
                <w:szCs w:val="16"/>
              </w:rPr>
              <w:t>.</w:t>
            </w:r>
          </w:p>
        </w:tc>
        <w:tc>
          <w:tcPr>
            <w:tcW w:w="992" w:type="dxa"/>
            <w:tcBorders>
              <w:top w:val="single" w:sz="4" w:space="0" w:color="auto"/>
            </w:tcBorders>
          </w:tcPr>
          <w:p w14:paraId="63A130A0" w14:textId="707F82B5" w:rsidR="0029054C" w:rsidRPr="0029054C" w:rsidRDefault="0029054C" w:rsidP="0029054C">
            <w:pPr>
              <w:spacing w:line="240" w:lineRule="auto"/>
              <w:jc w:val="center"/>
              <w:rPr>
                <w:sz w:val="20"/>
                <w:szCs w:val="16"/>
              </w:rPr>
            </w:pPr>
            <w:r>
              <w:rPr>
                <w:sz w:val="20"/>
                <w:szCs w:val="16"/>
              </w:rPr>
              <w:t>.</w:t>
            </w:r>
            <w:r w:rsidR="00F2411C">
              <w:rPr>
                <w:sz w:val="20"/>
                <w:szCs w:val="16"/>
              </w:rPr>
              <w:t>040</w:t>
            </w:r>
          </w:p>
        </w:tc>
        <w:tc>
          <w:tcPr>
            <w:tcW w:w="992" w:type="dxa"/>
            <w:tcBorders>
              <w:top w:val="single" w:sz="4" w:space="0" w:color="auto"/>
            </w:tcBorders>
          </w:tcPr>
          <w:p w14:paraId="1C1523C5" w14:textId="6C224DD8" w:rsidR="0029054C" w:rsidRPr="0029054C" w:rsidRDefault="0029054C" w:rsidP="0029054C">
            <w:pPr>
              <w:spacing w:line="240" w:lineRule="auto"/>
              <w:jc w:val="center"/>
              <w:rPr>
                <w:sz w:val="20"/>
                <w:szCs w:val="16"/>
              </w:rPr>
            </w:pPr>
            <w:r>
              <w:rPr>
                <w:sz w:val="20"/>
                <w:szCs w:val="16"/>
              </w:rPr>
              <w:t>.</w:t>
            </w:r>
            <w:r w:rsidR="00F2411C">
              <w:rPr>
                <w:sz w:val="20"/>
                <w:szCs w:val="16"/>
              </w:rPr>
              <w:t>344</w:t>
            </w:r>
          </w:p>
        </w:tc>
      </w:tr>
      <w:tr w:rsidR="0029054C" w:rsidRPr="0029054C" w14:paraId="3C5FE72D" w14:textId="49829604" w:rsidTr="00516365">
        <w:trPr>
          <w:jc w:val="center"/>
        </w:trPr>
        <w:tc>
          <w:tcPr>
            <w:tcW w:w="959" w:type="dxa"/>
          </w:tcPr>
          <w:p w14:paraId="7C0AE80F" w14:textId="2F1E8C33" w:rsidR="0029054C" w:rsidRPr="0029054C" w:rsidRDefault="0029054C" w:rsidP="0029054C">
            <w:pPr>
              <w:spacing w:line="240" w:lineRule="auto"/>
              <w:rPr>
                <w:sz w:val="20"/>
                <w:szCs w:val="16"/>
              </w:rPr>
            </w:pPr>
            <w:r>
              <w:rPr>
                <w:sz w:val="20"/>
                <w:szCs w:val="16"/>
              </w:rPr>
              <w:t>LS</w:t>
            </w:r>
          </w:p>
        </w:tc>
        <w:tc>
          <w:tcPr>
            <w:tcW w:w="992" w:type="dxa"/>
          </w:tcPr>
          <w:p w14:paraId="49758015" w14:textId="378848CE" w:rsidR="0029054C" w:rsidRPr="0029054C" w:rsidRDefault="0087082B" w:rsidP="0087082B">
            <w:pPr>
              <w:spacing w:line="240" w:lineRule="auto"/>
              <w:jc w:val="center"/>
              <w:rPr>
                <w:sz w:val="20"/>
                <w:szCs w:val="16"/>
              </w:rPr>
            </w:pPr>
            <w:r>
              <w:rPr>
                <w:sz w:val="20"/>
                <w:szCs w:val="16"/>
              </w:rPr>
              <w:t>.</w:t>
            </w:r>
            <w:r w:rsidR="00F2411C">
              <w:rPr>
                <w:sz w:val="20"/>
                <w:szCs w:val="16"/>
              </w:rPr>
              <w:t>284</w:t>
            </w:r>
          </w:p>
        </w:tc>
        <w:tc>
          <w:tcPr>
            <w:tcW w:w="992" w:type="dxa"/>
          </w:tcPr>
          <w:p w14:paraId="3BBF908D" w14:textId="60AE3210" w:rsidR="0029054C" w:rsidRPr="0087082B" w:rsidRDefault="0087082B" w:rsidP="0029054C">
            <w:pPr>
              <w:spacing w:line="240" w:lineRule="auto"/>
              <w:jc w:val="center"/>
              <w:rPr>
                <w:b/>
                <w:bCs/>
                <w:sz w:val="20"/>
                <w:szCs w:val="16"/>
              </w:rPr>
            </w:pPr>
            <w:r w:rsidRPr="0087082B">
              <w:rPr>
                <w:b/>
                <w:bCs/>
                <w:sz w:val="20"/>
                <w:szCs w:val="16"/>
              </w:rPr>
              <w:t>.78</w:t>
            </w:r>
            <w:r w:rsidR="00F2411C">
              <w:rPr>
                <w:b/>
                <w:bCs/>
                <w:sz w:val="20"/>
                <w:szCs w:val="16"/>
              </w:rPr>
              <w:t>0</w:t>
            </w:r>
          </w:p>
        </w:tc>
        <w:tc>
          <w:tcPr>
            <w:tcW w:w="993" w:type="dxa"/>
          </w:tcPr>
          <w:p w14:paraId="3F1952C8" w14:textId="0A484C3E" w:rsidR="0029054C" w:rsidRPr="0029054C" w:rsidRDefault="00E15104" w:rsidP="0029054C">
            <w:pPr>
              <w:spacing w:line="240" w:lineRule="auto"/>
              <w:jc w:val="center"/>
              <w:rPr>
                <w:sz w:val="20"/>
                <w:szCs w:val="16"/>
              </w:rPr>
            </w:pPr>
            <w:r>
              <w:rPr>
                <w:sz w:val="20"/>
                <w:szCs w:val="16"/>
              </w:rPr>
              <w:t>.</w:t>
            </w:r>
            <w:r w:rsidR="006451BA">
              <w:rPr>
                <w:sz w:val="20"/>
                <w:szCs w:val="16"/>
              </w:rPr>
              <w:t>100</w:t>
            </w:r>
          </w:p>
        </w:tc>
        <w:tc>
          <w:tcPr>
            <w:tcW w:w="992" w:type="dxa"/>
          </w:tcPr>
          <w:p w14:paraId="4989892A" w14:textId="21993231" w:rsidR="0029054C" w:rsidRPr="0029054C" w:rsidRDefault="00E15104" w:rsidP="0029054C">
            <w:pPr>
              <w:spacing w:line="240" w:lineRule="auto"/>
              <w:jc w:val="center"/>
              <w:rPr>
                <w:sz w:val="20"/>
                <w:szCs w:val="16"/>
              </w:rPr>
            </w:pPr>
            <w:r>
              <w:rPr>
                <w:sz w:val="20"/>
                <w:szCs w:val="16"/>
              </w:rPr>
              <w:t>-.</w:t>
            </w:r>
            <w:r w:rsidR="00732F68">
              <w:rPr>
                <w:sz w:val="20"/>
                <w:szCs w:val="16"/>
              </w:rPr>
              <w:t>1</w:t>
            </w:r>
            <w:r>
              <w:rPr>
                <w:sz w:val="20"/>
                <w:szCs w:val="16"/>
              </w:rPr>
              <w:t>0</w:t>
            </w:r>
            <w:r w:rsidR="00732F68">
              <w:rPr>
                <w:sz w:val="20"/>
                <w:szCs w:val="16"/>
              </w:rPr>
              <w:t>6</w:t>
            </w:r>
          </w:p>
        </w:tc>
        <w:tc>
          <w:tcPr>
            <w:tcW w:w="992" w:type="dxa"/>
          </w:tcPr>
          <w:p w14:paraId="31C1EED2" w14:textId="7D05A6D8" w:rsidR="0029054C" w:rsidRPr="0029054C" w:rsidRDefault="00E15104" w:rsidP="0029054C">
            <w:pPr>
              <w:spacing w:line="240" w:lineRule="auto"/>
              <w:jc w:val="center"/>
              <w:rPr>
                <w:sz w:val="20"/>
                <w:szCs w:val="16"/>
              </w:rPr>
            </w:pPr>
            <w:r>
              <w:rPr>
                <w:sz w:val="20"/>
                <w:szCs w:val="16"/>
              </w:rPr>
              <w:t>.</w:t>
            </w:r>
            <w:r w:rsidR="0024114D">
              <w:rPr>
                <w:sz w:val="20"/>
                <w:szCs w:val="16"/>
              </w:rPr>
              <w:t>347</w:t>
            </w:r>
          </w:p>
        </w:tc>
      </w:tr>
      <w:tr w:rsidR="0029054C" w:rsidRPr="0029054C" w14:paraId="4A38EEAA" w14:textId="4B743360" w:rsidTr="00516365">
        <w:trPr>
          <w:jc w:val="center"/>
        </w:trPr>
        <w:tc>
          <w:tcPr>
            <w:tcW w:w="959" w:type="dxa"/>
          </w:tcPr>
          <w:p w14:paraId="463477CC" w14:textId="7B4B28D2" w:rsidR="0029054C" w:rsidRPr="0029054C" w:rsidRDefault="0029054C" w:rsidP="0029054C">
            <w:pPr>
              <w:spacing w:line="240" w:lineRule="auto"/>
              <w:rPr>
                <w:sz w:val="20"/>
                <w:szCs w:val="16"/>
              </w:rPr>
            </w:pPr>
            <w:r>
              <w:rPr>
                <w:sz w:val="20"/>
                <w:szCs w:val="16"/>
              </w:rPr>
              <w:t>PD</w:t>
            </w:r>
          </w:p>
        </w:tc>
        <w:tc>
          <w:tcPr>
            <w:tcW w:w="992" w:type="dxa"/>
          </w:tcPr>
          <w:p w14:paraId="65E4ADC4" w14:textId="13486DB2" w:rsidR="0029054C" w:rsidRPr="0029054C" w:rsidRDefault="001E5F9B" w:rsidP="0029054C">
            <w:pPr>
              <w:spacing w:line="240" w:lineRule="auto"/>
              <w:jc w:val="center"/>
              <w:rPr>
                <w:sz w:val="20"/>
                <w:szCs w:val="16"/>
              </w:rPr>
            </w:pPr>
            <w:r>
              <w:rPr>
                <w:sz w:val="20"/>
                <w:szCs w:val="16"/>
              </w:rPr>
              <w:t>.</w:t>
            </w:r>
            <w:r w:rsidR="00732F68">
              <w:rPr>
                <w:sz w:val="20"/>
                <w:szCs w:val="16"/>
              </w:rPr>
              <w:t>089</w:t>
            </w:r>
          </w:p>
        </w:tc>
        <w:tc>
          <w:tcPr>
            <w:tcW w:w="992" w:type="dxa"/>
          </w:tcPr>
          <w:p w14:paraId="10EB1E2F" w14:textId="6CA75567" w:rsidR="0029054C" w:rsidRPr="0029054C" w:rsidRDefault="001E5F9B" w:rsidP="0029054C">
            <w:pPr>
              <w:spacing w:line="240" w:lineRule="auto"/>
              <w:jc w:val="center"/>
              <w:rPr>
                <w:sz w:val="20"/>
                <w:szCs w:val="16"/>
              </w:rPr>
            </w:pPr>
            <w:r>
              <w:rPr>
                <w:sz w:val="20"/>
                <w:szCs w:val="16"/>
              </w:rPr>
              <w:t>.0</w:t>
            </w:r>
            <w:r w:rsidR="00732F68">
              <w:rPr>
                <w:sz w:val="20"/>
                <w:szCs w:val="16"/>
              </w:rPr>
              <w:t>72</w:t>
            </w:r>
          </w:p>
        </w:tc>
        <w:tc>
          <w:tcPr>
            <w:tcW w:w="993" w:type="dxa"/>
          </w:tcPr>
          <w:p w14:paraId="26F1ACB8" w14:textId="0DC4CC77" w:rsidR="0029054C" w:rsidRPr="00E15104" w:rsidRDefault="00E15104" w:rsidP="0029054C">
            <w:pPr>
              <w:spacing w:line="240" w:lineRule="auto"/>
              <w:jc w:val="center"/>
              <w:rPr>
                <w:b/>
                <w:bCs/>
                <w:sz w:val="20"/>
                <w:szCs w:val="16"/>
              </w:rPr>
            </w:pPr>
            <w:r w:rsidRPr="00E15104">
              <w:rPr>
                <w:b/>
                <w:bCs/>
                <w:sz w:val="20"/>
                <w:szCs w:val="16"/>
              </w:rPr>
              <w:t>.7</w:t>
            </w:r>
            <w:r w:rsidR="00732F68">
              <w:rPr>
                <w:b/>
                <w:bCs/>
                <w:sz w:val="20"/>
                <w:szCs w:val="16"/>
              </w:rPr>
              <w:t>49</w:t>
            </w:r>
          </w:p>
        </w:tc>
        <w:tc>
          <w:tcPr>
            <w:tcW w:w="992" w:type="dxa"/>
          </w:tcPr>
          <w:p w14:paraId="207BD8CD" w14:textId="2FE274B2" w:rsidR="0029054C" w:rsidRPr="0029054C" w:rsidRDefault="001E5F9B" w:rsidP="0029054C">
            <w:pPr>
              <w:spacing w:line="240" w:lineRule="auto"/>
              <w:jc w:val="center"/>
              <w:rPr>
                <w:sz w:val="20"/>
                <w:szCs w:val="16"/>
              </w:rPr>
            </w:pPr>
            <w:r>
              <w:rPr>
                <w:sz w:val="20"/>
                <w:szCs w:val="16"/>
              </w:rPr>
              <w:t>-.</w:t>
            </w:r>
            <w:r w:rsidR="00732F68">
              <w:rPr>
                <w:sz w:val="20"/>
                <w:szCs w:val="16"/>
              </w:rPr>
              <w:t>136</w:t>
            </w:r>
          </w:p>
        </w:tc>
        <w:tc>
          <w:tcPr>
            <w:tcW w:w="992" w:type="dxa"/>
          </w:tcPr>
          <w:p w14:paraId="43E3B6C0" w14:textId="55DCEDE2" w:rsidR="0029054C" w:rsidRPr="0029054C" w:rsidRDefault="001E5F9B" w:rsidP="0029054C">
            <w:pPr>
              <w:spacing w:line="240" w:lineRule="auto"/>
              <w:jc w:val="center"/>
              <w:rPr>
                <w:sz w:val="20"/>
                <w:szCs w:val="16"/>
              </w:rPr>
            </w:pPr>
            <w:r>
              <w:rPr>
                <w:sz w:val="20"/>
                <w:szCs w:val="16"/>
              </w:rPr>
              <w:t>.1</w:t>
            </w:r>
            <w:r w:rsidR="00732F68">
              <w:rPr>
                <w:sz w:val="20"/>
                <w:szCs w:val="16"/>
              </w:rPr>
              <w:t>03</w:t>
            </w:r>
          </w:p>
        </w:tc>
      </w:tr>
      <w:tr w:rsidR="0029054C" w:rsidRPr="0029054C" w14:paraId="766D110F" w14:textId="43C9D319" w:rsidTr="00516365">
        <w:trPr>
          <w:jc w:val="center"/>
        </w:trPr>
        <w:tc>
          <w:tcPr>
            <w:tcW w:w="959" w:type="dxa"/>
          </w:tcPr>
          <w:p w14:paraId="0528C076" w14:textId="337717FE" w:rsidR="0029054C" w:rsidRPr="0029054C" w:rsidRDefault="0029054C" w:rsidP="0029054C">
            <w:pPr>
              <w:spacing w:line="240" w:lineRule="auto"/>
              <w:rPr>
                <w:sz w:val="20"/>
                <w:szCs w:val="16"/>
              </w:rPr>
            </w:pPr>
            <w:r>
              <w:rPr>
                <w:sz w:val="20"/>
                <w:szCs w:val="16"/>
              </w:rPr>
              <w:t>ET</w:t>
            </w:r>
          </w:p>
        </w:tc>
        <w:tc>
          <w:tcPr>
            <w:tcW w:w="992" w:type="dxa"/>
          </w:tcPr>
          <w:p w14:paraId="076C1409" w14:textId="1D6CAC75" w:rsidR="0029054C" w:rsidRPr="0029054C" w:rsidRDefault="00216ECF" w:rsidP="0029054C">
            <w:pPr>
              <w:spacing w:line="240" w:lineRule="auto"/>
              <w:jc w:val="center"/>
              <w:rPr>
                <w:sz w:val="20"/>
                <w:szCs w:val="16"/>
              </w:rPr>
            </w:pPr>
            <w:r>
              <w:rPr>
                <w:sz w:val="20"/>
                <w:szCs w:val="16"/>
              </w:rPr>
              <w:t>.</w:t>
            </w:r>
            <w:r w:rsidR="006451BA">
              <w:rPr>
                <w:sz w:val="20"/>
                <w:szCs w:val="16"/>
              </w:rPr>
              <w:t>040</w:t>
            </w:r>
          </w:p>
        </w:tc>
        <w:tc>
          <w:tcPr>
            <w:tcW w:w="992" w:type="dxa"/>
          </w:tcPr>
          <w:p w14:paraId="58495457" w14:textId="25B3FC11" w:rsidR="0029054C" w:rsidRPr="0029054C" w:rsidRDefault="00E95952" w:rsidP="0029054C">
            <w:pPr>
              <w:spacing w:line="240" w:lineRule="auto"/>
              <w:jc w:val="center"/>
              <w:rPr>
                <w:sz w:val="20"/>
                <w:szCs w:val="16"/>
              </w:rPr>
            </w:pPr>
            <w:r>
              <w:rPr>
                <w:sz w:val="20"/>
                <w:szCs w:val="16"/>
              </w:rPr>
              <w:t>.148</w:t>
            </w:r>
          </w:p>
        </w:tc>
        <w:tc>
          <w:tcPr>
            <w:tcW w:w="993" w:type="dxa"/>
          </w:tcPr>
          <w:p w14:paraId="10357ADB" w14:textId="245D88C7" w:rsidR="0029054C" w:rsidRPr="0029054C" w:rsidRDefault="00216ECF" w:rsidP="0029054C">
            <w:pPr>
              <w:spacing w:line="240" w:lineRule="auto"/>
              <w:jc w:val="center"/>
              <w:rPr>
                <w:sz w:val="20"/>
                <w:szCs w:val="16"/>
              </w:rPr>
            </w:pPr>
            <w:r>
              <w:rPr>
                <w:sz w:val="20"/>
                <w:szCs w:val="16"/>
              </w:rPr>
              <w:t>.</w:t>
            </w:r>
            <w:r w:rsidR="006451BA">
              <w:rPr>
                <w:sz w:val="20"/>
                <w:szCs w:val="16"/>
              </w:rPr>
              <w:t>180</w:t>
            </w:r>
          </w:p>
        </w:tc>
        <w:tc>
          <w:tcPr>
            <w:tcW w:w="992" w:type="dxa"/>
          </w:tcPr>
          <w:p w14:paraId="6EB6D097" w14:textId="7727CE9A" w:rsidR="0029054C" w:rsidRPr="001E5F9B" w:rsidRDefault="001E5F9B" w:rsidP="0029054C">
            <w:pPr>
              <w:spacing w:line="240" w:lineRule="auto"/>
              <w:jc w:val="center"/>
              <w:rPr>
                <w:b/>
                <w:bCs/>
                <w:sz w:val="20"/>
                <w:szCs w:val="16"/>
              </w:rPr>
            </w:pPr>
            <w:r w:rsidRPr="001E5F9B">
              <w:rPr>
                <w:b/>
                <w:bCs/>
                <w:sz w:val="20"/>
                <w:szCs w:val="16"/>
              </w:rPr>
              <w:t>.</w:t>
            </w:r>
            <w:r w:rsidR="00E95952">
              <w:rPr>
                <w:b/>
                <w:bCs/>
                <w:sz w:val="20"/>
                <w:szCs w:val="16"/>
              </w:rPr>
              <w:t>688</w:t>
            </w:r>
          </w:p>
        </w:tc>
        <w:tc>
          <w:tcPr>
            <w:tcW w:w="992" w:type="dxa"/>
          </w:tcPr>
          <w:p w14:paraId="30B42D44" w14:textId="6EB64ED7" w:rsidR="0029054C" w:rsidRPr="0029054C" w:rsidRDefault="00216ECF" w:rsidP="0029054C">
            <w:pPr>
              <w:spacing w:line="240" w:lineRule="auto"/>
              <w:jc w:val="center"/>
              <w:rPr>
                <w:sz w:val="20"/>
                <w:szCs w:val="16"/>
              </w:rPr>
            </w:pPr>
            <w:r>
              <w:rPr>
                <w:sz w:val="20"/>
                <w:szCs w:val="16"/>
              </w:rPr>
              <w:t>.</w:t>
            </w:r>
            <w:r w:rsidR="0024114D">
              <w:rPr>
                <w:sz w:val="20"/>
                <w:szCs w:val="16"/>
              </w:rPr>
              <w:t>155</w:t>
            </w:r>
          </w:p>
        </w:tc>
      </w:tr>
      <w:tr w:rsidR="0029054C" w:rsidRPr="0029054C" w14:paraId="64A953B5" w14:textId="25ECD8B9" w:rsidTr="00516365">
        <w:trPr>
          <w:jc w:val="center"/>
        </w:trPr>
        <w:tc>
          <w:tcPr>
            <w:tcW w:w="959" w:type="dxa"/>
          </w:tcPr>
          <w:p w14:paraId="65E5ADC8" w14:textId="65197C5D" w:rsidR="0029054C" w:rsidRDefault="0029054C" w:rsidP="0029054C">
            <w:pPr>
              <w:spacing w:line="240" w:lineRule="auto"/>
              <w:rPr>
                <w:sz w:val="20"/>
                <w:szCs w:val="16"/>
              </w:rPr>
            </w:pPr>
            <w:r>
              <w:rPr>
                <w:sz w:val="20"/>
                <w:szCs w:val="16"/>
              </w:rPr>
              <w:t>TO</w:t>
            </w:r>
          </w:p>
        </w:tc>
        <w:tc>
          <w:tcPr>
            <w:tcW w:w="992" w:type="dxa"/>
          </w:tcPr>
          <w:p w14:paraId="3748C4F9" w14:textId="1B69C87C" w:rsidR="0029054C" w:rsidRPr="0029054C" w:rsidRDefault="00216ECF" w:rsidP="0029054C">
            <w:pPr>
              <w:spacing w:line="240" w:lineRule="auto"/>
              <w:jc w:val="center"/>
              <w:rPr>
                <w:sz w:val="20"/>
                <w:szCs w:val="16"/>
              </w:rPr>
            </w:pPr>
            <w:r>
              <w:rPr>
                <w:sz w:val="20"/>
                <w:szCs w:val="16"/>
              </w:rPr>
              <w:t>.</w:t>
            </w:r>
            <w:r w:rsidR="006451BA">
              <w:rPr>
                <w:sz w:val="20"/>
                <w:szCs w:val="16"/>
              </w:rPr>
              <w:t>344</w:t>
            </w:r>
          </w:p>
        </w:tc>
        <w:tc>
          <w:tcPr>
            <w:tcW w:w="992" w:type="dxa"/>
          </w:tcPr>
          <w:p w14:paraId="7DB94CD6" w14:textId="64162246" w:rsidR="0029054C" w:rsidRPr="0029054C" w:rsidRDefault="00216ECF" w:rsidP="0029054C">
            <w:pPr>
              <w:spacing w:line="240" w:lineRule="auto"/>
              <w:jc w:val="center"/>
              <w:rPr>
                <w:sz w:val="20"/>
                <w:szCs w:val="16"/>
              </w:rPr>
            </w:pPr>
            <w:r>
              <w:rPr>
                <w:sz w:val="20"/>
                <w:szCs w:val="16"/>
              </w:rPr>
              <w:t>.</w:t>
            </w:r>
            <w:r w:rsidR="00E95952">
              <w:rPr>
                <w:sz w:val="20"/>
                <w:szCs w:val="16"/>
              </w:rPr>
              <w:t>284</w:t>
            </w:r>
          </w:p>
        </w:tc>
        <w:tc>
          <w:tcPr>
            <w:tcW w:w="993" w:type="dxa"/>
          </w:tcPr>
          <w:p w14:paraId="48C5996A" w14:textId="42193B67" w:rsidR="0029054C" w:rsidRPr="0029054C" w:rsidRDefault="00216ECF" w:rsidP="0029054C">
            <w:pPr>
              <w:spacing w:line="240" w:lineRule="auto"/>
              <w:jc w:val="center"/>
              <w:rPr>
                <w:sz w:val="20"/>
                <w:szCs w:val="16"/>
              </w:rPr>
            </w:pPr>
            <w:r>
              <w:rPr>
                <w:sz w:val="20"/>
                <w:szCs w:val="16"/>
              </w:rPr>
              <w:t>.1</w:t>
            </w:r>
            <w:r w:rsidR="006451BA">
              <w:rPr>
                <w:sz w:val="20"/>
                <w:szCs w:val="16"/>
              </w:rPr>
              <w:t>03</w:t>
            </w:r>
          </w:p>
        </w:tc>
        <w:tc>
          <w:tcPr>
            <w:tcW w:w="992" w:type="dxa"/>
          </w:tcPr>
          <w:p w14:paraId="5F9B5218" w14:textId="2B1C71AA" w:rsidR="0029054C" w:rsidRPr="0029054C" w:rsidRDefault="00E95952" w:rsidP="0029054C">
            <w:pPr>
              <w:spacing w:line="240" w:lineRule="auto"/>
              <w:jc w:val="center"/>
              <w:rPr>
                <w:sz w:val="20"/>
                <w:szCs w:val="16"/>
              </w:rPr>
            </w:pPr>
            <w:r>
              <w:rPr>
                <w:sz w:val="20"/>
                <w:szCs w:val="16"/>
              </w:rPr>
              <w:t>-</w:t>
            </w:r>
            <w:r w:rsidR="00216ECF">
              <w:rPr>
                <w:sz w:val="20"/>
                <w:szCs w:val="16"/>
              </w:rPr>
              <w:t>.</w:t>
            </w:r>
            <w:r>
              <w:rPr>
                <w:sz w:val="20"/>
                <w:szCs w:val="16"/>
              </w:rPr>
              <w:t>040</w:t>
            </w:r>
          </w:p>
        </w:tc>
        <w:tc>
          <w:tcPr>
            <w:tcW w:w="992" w:type="dxa"/>
          </w:tcPr>
          <w:p w14:paraId="0A42F77E" w14:textId="62A84248" w:rsidR="0029054C" w:rsidRPr="008F6FD8" w:rsidRDefault="001E5F9B" w:rsidP="0029054C">
            <w:pPr>
              <w:spacing w:line="240" w:lineRule="auto"/>
              <w:jc w:val="center"/>
              <w:rPr>
                <w:b/>
                <w:bCs/>
                <w:sz w:val="20"/>
                <w:szCs w:val="16"/>
              </w:rPr>
            </w:pPr>
            <w:r w:rsidRPr="008F6FD8">
              <w:rPr>
                <w:b/>
                <w:bCs/>
                <w:sz w:val="20"/>
                <w:szCs w:val="16"/>
              </w:rPr>
              <w:t>.7</w:t>
            </w:r>
            <w:r w:rsidR="006451BA">
              <w:rPr>
                <w:b/>
                <w:bCs/>
                <w:sz w:val="20"/>
                <w:szCs w:val="16"/>
              </w:rPr>
              <w:t>85</w:t>
            </w:r>
          </w:p>
        </w:tc>
      </w:tr>
    </w:tbl>
    <w:p w14:paraId="47251711" w14:textId="27CC92DD" w:rsidR="00B6408F" w:rsidRDefault="00B6408F" w:rsidP="004344AF">
      <w:pPr>
        <w:rPr>
          <w:lang w:val="en-US"/>
        </w:rPr>
      </w:pPr>
    </w:p>
    <w:p w14:paraId="012E8C1F" w14:textId="77777777" w:rsidR="00B6408F" w:rsidRDefault="00B6408F" w:rsidP="00B6408F">
      <w:pPr>
        <w:pStyle w:val="Heading2"/>
        <w:rPr>
          <w:lang w:val="en-US"/>
        </w:rPr>
      </w:pPr>
      <w:r>
        <w:rPr>
          <w:lang w:val="en-US"/>
        </w:rPr>
        <w:t xml:space="preserve">4.2. </w:t>
      </w:r>
      <w:r>
        <w:t>Pengujian Hubungan Model dan Hipotesis</w:t>
      </w:r>
    </w:p>
    <w:p w14:paraId="71C23FAD" w14:textId="16C0AFC7" w:rsidR="00B6408F" w:rsidRDefault="00B6408F" w:rsidP="00B6408F">
      <w:pPr>
        <w:rPr>
          <w:noProof/>
          <w:lang w:val="en-US"/>
        </w:rPr>
      </w:pPr>
      <w:r w:rsidRPr="00371D21">
        <w:rPr>
          <w:noProof/>
          <w:lang w:val="en-US"/>
        </w:rPr>
        <w:t xml:space="preserve">Seperti yang ditunjukkan pada Tabel 4 dan Gambar </w:t>
      </w:r>
      <w:r>
        <w:rPr>
          <w:noProof/>
          <w:lang w:val="en-US"/>
        </w:rPr>
        <w:t>1</w:t>
      </w:r>
      <w:r w:rsidRPr="00371D21">
        <w:rPr>
          <w:noProof/>
          <w:lang w:val="en-US"/>
        </w:rPr>
        <w:t xml:space="preserve">, hasilnya menunjukkan bahwa hubungan </w:t>
      </w:r>
      <w:r>
        <w:rPr>
          <w:noProof/>
          <w:lang w:val="en-US"/>
        </w:rPr>
        <w:t xml:space="preserve">signifikan antara TS dengan TO </w:t>
      </w:r>
      <w:r w:rsidRPr="00371D21">
        <w:rPr>
          <w:noProof/>
          <w:lang w:val="en-US"/>
        </w:rPr>
        <w:t>(</w:t>
      </w:r>
      <w:r>
        <w:rPr>
          <w:rFonts w:cs="Times New Roman"/>
          <w:noProof/>
          <w:lang w:val="en-US"/>
        </w:rPr>
        <w:t>β</w:t>
      </w:r>
      <w:r w:rsidRPr="00371D21">
        <w:rPr>
          <w:noProof/>
          <w:lang w:val="en-US"/>
        </w:rPr>
        <w:t xml:space="preserve"> = 0,</w:t>
      </w:r>
      <w:r>
        <w:rPr>
          <w:noProof/>
          <w:lang w:val="en-US"/>
        </w:rPr>
        <w:t>294</w:t>
      </w:r>
      <w:r w:rsidRPr="00371D21">
        <w:rPr>
          <w:noProof/>
          <w:lang w:val="en-US"/>
        </w:rPr>
        <w:t xml:space="preserve">, t = </w:t>
      </w:r>
      <w:r>
        <w:rPr>
          <w:noProof/>
          <w:lang w:val="en-US"/>
        </w:rPr>
        <w:t>4</w:t>
      </w:r>
      <w:r w:rsidRPr="00371D21">
        <w:rPr>
          <w:noProof/>
          <w:lang w:val="en-US"/>
        </w:rPr>
        <w:t>,</w:t>
      </w:r>
      <w:r>
        <w:rPr>
          <w:noProof/>
          <w:lang w:val="en-US"/>
        </w:rPr>
        <w:t>706</w:t>
      </w:r>
      <w:r w:rsidRPr="00371D21">
        <w:rPr>
          <w:noProof/>
          <w:lang w:val="en-US"/>
        </w:rPr>
        <w:t xml:space="preserve">, </w:t>
      </w:r>
      <w:r w:rsidRPr="005142D1">
        <w:rPr>
          <w:noProof/>
          <w:lang w:val="en-US"/>
        </w:rPr>
        <w:t>ρ</w:t>
      </w:r>
      <w:r w:rsidRPr="00371D21">
        <w:rPr>
          <w:noProof/>
          <w:lang w:val="en-US"/>
        </w:rPr>
        <w:t xml:space="preserve"> &lt; 0,00</w:t>
      </w:r>
      <w:r>
        <w:rPr>
          <w:noProof/>
          <w:lang w:val="en-US"/>
        </w:rPr>
        <w:t>0</w:t>
      </w:r>
      <w:r w:rsidRPr="00371D21">
        <w:rPr>
          <w:noProof/>
          <w:lang w:val="en-US"/>
        </w:rPr>
        <w:t>)</w:t>
      </w:r>
      <w:r>
        <w:rPr>
          <w:noProof/>
          <w:lang w:val="en-US"/>
        </w:rPr>
        <w:t xml:space="preserve"> dan LS dengan TO </w:t>
      </w:r>
      <w:r w:rsidRPr="00371D21">
        <w:rPr>
          <w:noProof/>
          <w:lang w:val="en-US"/>
        </w:rPr>
        <w:t>(</w:t>
      </w:r>
      <w:r>
        <w:rPr>
          <w:rFonts w:cs="Times New Roman"/>
          <w:noProof/>
          <w:lang w:val="en-US"/>
        </w:rPr>
        <w:t>β</w:t>
      </w:r>
      <w:r w:rsidRPr="00371D21">
        <w:rPr>
          <w:noProof/>
          <w:lang w:val="en-US"/>
        </w:rPr>
        <w:t xml:space="preserve"> =</w:t>
      </w:r>
      <w:r>
        <w:rPr>
          <w:noProof/>
          <w:lang w:val="en-US"/>
        </w:rPr>
        <w:t xml:space="preserve"> 0</w:t>
      </w:r>
      <w:r w:rsidRPr="00371D21">
        <w:rPr>
          <w:noProof/>
          <w:lang w:val="en-US"/>
        </w:rPr>
        <w:t>,</w:t>
      </w:r>
      <w:r>
        <w:rPr>
          <w:noProof/>
          <w:lang w:val="en-US"/>
        </w:rPr>
        <w:t>207</w:t>
      </w:r>
      <w:r w:rsidRPr="00371D21">
        <w:rPr>
          <w:noProof/>
          <w:lang w:val="en-US"/>
        </w:rPr>
        <w:t xml:space="preserve">, t = </w:t>
      </w:r>
      <w:r>
        <w:rPr>
          <w:noProof/>
          <w:lang w:val="en-US"/>
        </w:rPr>
        <w:t>3</w:t>
      </w:r>
      <w:r w:rsidRPr="00371D21">
        <w:rPr>
          <w:noProof/>
          <w:lang w:val="en-US"/>
        </w:rPr>
        <w:t>,</w:t>
      </w:r>
      <w:r>
        <w:rPr>
          <w:noProof/>
          <w:lang w:val="en-US"/>
        </w:rPr>
        <w:t>138</w:t>
      </w:r>
      <w:r w:rsidRPr="00371D21">
        <w:rPr>
          <w:noProof/>
          <w:lang w:val="en-US"/>
        </w:rPr>
        <w:t xml:space="preserve">, </w:t>
      </w:r>
      <w:r w:rsidRPr="005142D1">
        <w:rPr>
          <w:noProof/>
          <w:lang w:val="en-US"/>
        </w:rPr>
        <w:t>ρ</w:t>
      </w:r>
      <w:r w:rsidRPr="00371D21">
        <w:rPr>
          <w:noProof/>
          <w:lang w:val="en-US"/>
        </w:rPr>
        <w:t xml:space="preserve"> &lt; 0,00</w:t>
      </w:r>
      <w:r>
        <w:rPr>
          <w:noProof/>
          <w:lang w:val="en-US"/>
        </w:rPr>
        <w:t>2</w:t>
      </w:r>
      <w:r w:rsidRPr="00371D21">
        <w:rPr>
          <w:noProof/>
          <w:lang w:val="en-US"/>
        </w:rPr>
        <w:t>)</w:t>
      </w:r>
      <w:r>
        <w:rPr>
          <w:noProof/>
          <w:lang w:val="en-US"/>
        </w:rPr>
        <w:t xml:space="preserve">, namun tidak dengan PD terhadap TO </w:t>
      </w:r>
      <w:r w:rsidRPr="00371D21">
        <w:rPr>
          <w:noProof/>
          <w:lang w:val="en-US"/>
        </w:rPr>
        <w:t>(</w:t>
      </w:r>
      <w:r>
        <w:rPr>
          <w:rFonts w:cs="Times New Roman"/>
          <w:noProof/>
          <w:lang w:val="en-US"/>
        </w:rPr>
        <w:t>β</w:t>
      </w:r>
      <w:r w:rsidRPr="00371D21">
        <w:rPr>
          <w:noProof/>
          <w:lang w:val="en-US"/>
        </w:rPr>
        <w:t xml:space="preserve"> =</w:t>
      </w:r>
      <w:r>
        <w:rPr>
          <w:noProof/>
          <w:lang w:val="en-US"/>
        </w:rPr>
        <w:t xml:space="preserve"> 0</w:t>
      </w:r>
      <w:r w:rsidRPr="00371D21">
        <w:rPr>
          <w:noProof/>
          <w:lang w:val="en-US"/>
        </w:rPr>
        <w:t>,</w:t>
      </w:r>
      <w:r>
        <w:rPr>
          <w:noProof/>
          <w:lang w:val="en-US"/>
        </w:rPr>
        <w:t>053</w:t>
      </w:r>
      <w:r w:rsidRPr="00371D21">
        <w:rPr>
          <w:noProof/>
          <w:lang w:val="en-US"/>
        </w:rPr>
        <w:t xml:space="preserve">, t = </w:t>
      </w:r>
      <w:r>
        <w:rPr>
          <w:noProof/>
          <w:lang w:val="en-US"/>
        </w:rPr>
        <w:t>0</w:t>
      </w:r>
      <w:r w:rsidRPr="00371D21">
        <w:rPr>
          <w:noProof/>
          <w:lang w:val="en-US"/>
        </w:rPr>
        <w:t>,</w:t>
      </w:r>
      <w:r>
        <w:rPr>
          <w:noProof/>
          <w:lang w:val="en-US"/>
        </w:rPr>
        <w:t>686</w:t>
      </w:r>
      <w:r w:rsidRPr="00371D21">
        <w:rPr>
          <w:noProof/>
          <w:lang w:val="en-US"/>
        </w:rPr>
        <w:t xml:space="preserve">, </w:t>
      </w:r>
      <w:r w:rsidRPr="005142D1">
        <w:rPr>
          <w:noProof/>
          <w:lang w:val="en-US"/>
        </w:rPr>
        <w:t>ρ</w:t>
      </w:r>
      <w:r w:rsidRPr="00371D21">
        <w:rPr>
          <w:noProof/>
          <w:lang w:val="en-US"/>
        </w:rPr>
        <w:t xml:space="preserve"> &lt; 0,</w:t>
      </w:r>
      <w:r>
        <w:rPr>
          <w:noProof/>
          <w:lang w:val="en-US"/>
        </w:rPr>
        <w:t>489</w:t>
      </w:r>
      <w:r w:rsidRPr="00371D21">
        <w:rPr>
          <w:noProof/>
          <w:lang w:val="en-US"/>
        </w:rPr>
        <w:t>)</w:t>
      </w:r>
      <w:r>
        <w:rPr>
          <w:noProof/>
          <w:lang w:val="en-US"/>
        </w:rPr>
        <w:t xml:space="preserve"> yang hasilnya ditemukan tidak signifikan. Selanjutnya hasil R</w:t>
      </w:r>
      <w:r>
        <w:rPr>
          <w:noProof/>
          <w:vertAlign w:val="superscript"/>
          <w:lang w:val="en-US"/>
        </w:rPr>
        <w:t xml:space="preserve"> </w:t>
      </w:r>
      <w:r w:rsidRPr="004F1FE7">
        <w:rPr>
          <w:noProof/>
          <w:lang w:val="en-US"/>
        </w:rPr>
        <w:t>Square</w:t>
      </w:r>
      <w:r>
        <w:rPr>
          <w:noProof/>
          <w:lang w:val="en-US"/>
        </w:rPr>
        <w:t xml:space="preserve">d </w:t>
      </w:r>
      <w:r>
        <w:rPr>
          <w:noProof/>
          <w:lang w:val="en-US"/>
        </w:rPr>
        <w:lastRenderedPageBreak/>
        <w:t>dapat digunakan untuk memperjelas hubungan dari kontruks model penelitian dan nilai yang ditunjukkan mempunyai nilai lebih dari 0.10 (</w:t>
      </w:r>
      <w:r w:rsidR="00740C74">
        <w:t>(</w:t>
      </w:r>
      <w:r w:rsidR="00740C74" w:rsidRPr="00C81DE3">
        <w:rPr>
          <w:color w:val="00B0F0"/>
        </w:rPr>
        <w:t>Falk dan Miller, 1992</w:t>
      </w:r>
      <w:r w:rsidR="00740C74">
        <w:t>)</w:t>
      </w:r>
      <w:r>
        <w:rPr>
          <w:noProof/>
          <w:lang w:val="en-US"/>
        </w:rPr>
        <w:t xml:space="preserve">). </w:t>
      </w:r>
    </w:p>
    <w:p w14:paraId="6E2AF60F" w14:textId="4FC0421E" w:rsidR="00B6408F" w:rsidRDefault="00B6408F" w:rsidP="004344AF">
      <w:pPr>
        <w:rPr>
          <w:lang w:val="en-US"/>
        </w:rPr>
      </w:pPr>
    </w:p>
    <w:p w14:paraId="762DEF9A" w14:textId="1DB555E3" w:rsidR="00EB23BB" w:rsidRDefault="001970AA" w:rsidP="004344AF">
      <w:pPr>
        <w:rPr>
          <w:lang w:val="en-US"/>
        </w:rPr>
      </w:pPr>
      <w:r>
        <w:rPr>
          <w:noProof/>
          <w:lang w:val="en-US"/>
        </w:rPr>
        <mc:AlternateContent>
          <mc:Choice Requires="wpg">
            <w:drawing>
              <wp:anchor distT="0" distB="0" distL="114300" distR="114300" simplePos="0" relativeHeight="251667456" behindDoc="0" locked="0" layoutInCell="1" allowOverlap="1" wp14:anchorId="4281E995" wp14:editId="110B5E8C">
                <wp:simplePos x="0" y="0"/>
                <wp:positionH relativeFrom="column">
                  <wp:posOffset>142875</wp:posOffset>
                </wp:positionH>
                <wp:positionV relativeFrom="paragraph">
                  <wp:posOffset>43815</wp:posOffset>
                </wp:positionV>
                <wp:extent cx="4495800" cy="2419350"/>
                <wp:effectExtent l="0" t="0" r="19050" b="19050"/>
                <wp:wrapNone/>
                <wp:docPr id="12" name="Group 12"/>
                <wp:cNvGraphicFramePr/>
                <a:graphic xmlns:a="http://schemas.openxmlformats.org/drawingml/2006/main">
                  <a:graphicData uri="http://schemas.microsoft.com/office/word/2010/wordprocessingGroup">
                    <wpg:wgp>
                      <wpg:cNvGrpSpPr/>
                      <wpg:grpSpPr>
                        <a:xfrm>
                          <a:off x="0" y="0"/>
                          <a:ext cx="4495800" cy="2419350"/>
                          <a:chOff x="0" y="0"/>
                          <a:chExt cx="4495800" cy="2419350"/>
                        </a:xfrm>
                      </wpg:grpSpPr>
                      <wps:wsp>
                        <wps:cNvPr id="2" name="Text Box 2"/>
                        <wps:cNvSpPr txBox="1">
                          <a:spLocks noChangeArrowheads="1"/>
                        </wps:cNvSpPr>
                        <wps:spPr bwMode="auto">
                          <a:xfrm>
                            <a:off x="0" y="0"/>
                            <a:ext cx="800100" cy="552450"/>
                          </a:xfrm>
                          <a:prstGeom prst="rect">
                            <a:avLst/>
                          </a:prstGeom>
                          <a:solidFill>
                            <a:srgbClr val="FFFFFF"/>
                          </a:solidFill>
                          <a:ln w="9525">
                            <a:solidFill>
                              <a:srgbClr val="000000"/>
                            </a:solidFill>
                            <a:miter lim="800000"/>
                            <a:headEnd/>
                            <a:tailEnd/>
                          </a:ln>
                        </wps:spPr>
                        <wps:txbx>
                          <w:txbxContent>
                            <w:p w14:paraId="51DA3EF9" w14:textId="77777777" w:rsidR="00ED3876" w:rsidRDefault="00ED3876" w:rsidP="00ED3876">
                              <w:pPr>
                                <w:spacing w:line="240" w:lineRule="auto"/>
                                <w:jc w:val="center"/>
                                <w:rPr>
                                  <w:sz w:val="20"/>
                                  <w:szCs w:val="18"/>
                                  <w:lang w:val="en-US"/>
                                </w:rPr>
                              </w:pPr>
                            </w:p>
                            <w:p w14:paraId="3C72C48D" w14:textId="208CBA78" w:rsidR="00ED3876" w:rsidRPr="00C4266A" w:rsidRDefault="00ED3876" w:rsidP="00ED3876">
                              <w:pPr>
                                <w:spacing w:line="240" w:lineRule="auto"/>
                                <w:jc w:val="center"/>
                                <w:rPr>
                                  <w:b/>
                                  <w:bCs/>
                                  <w:sz w:val="20"/>
                                  <w:szCs w:val="18"/>
                                </w:rPr>
                              </w:pPr>
                              <w:r w:rsidRPr="00C4266A">
                                <w:rPr>
                                  <w:b/>
                                  <w:bCs/>
                                  <w:sz w:val="20"/>
                                  <w:szCs w:val="18"/>
                                  <w:lang w:val="en-US"/>
                                </w:rPr>
                                <w:t>TS</w:t>
                              </w:r>
                            </w:p>
                          </w:txbxContent>
                        </wps:txbx>
                        <wps:bodyPr rot="0" vert="horz" wrap="square" lIns="91440" tIns="45720" rIns="91440" bIns="45720" anchor="t" anchorCtr="0">
                          <a:noAutofit/>
                        </wps:bodyPr>
                      </wps:wsp>
                      <wps:wsp>
                        <wps:cNvPr id="3" name="Text Box 3"/>
                        <wps:cNvSpPr txBox="1">
                          <a:spLocks noChangeArrowheads="1"/>
                        </wps:cNvSpPr>
                        <wps:spPr bwMode="auto">
                          <a:xfrm>
                            <a:off x="0" y="1019175"/>
                            <a:ext cx="800100" cy="552450"/>
                          </a:xfrm>
                          <a:prstGeom prst="rect">
                            <a:avLst/>
                          </a:prstGeom>
                          <a:solidFill>
                            <a:srgbClr val="FFFFFF"/>
                          </a:solidFill>
                          <a:ln w="9525">
                            <a:solidFill>
                              <a:srgbClr val="000000"/>
                            </a:solidFill>
                            <a:miter lim="800000"/>
                            <a:headEnd/>
                            <a:tailEnd/>
                          </a:ln>
                        </wps:spPr>
                        <wps:txbx>
                          <w:txbxContent>
                            <w:p w14:paraId="321F6622" w14:textId="77777777" w:rsidR="00ED3876" w:rsidRDefault="00ED3876" w:rsidP="00ED3876">
                              <w:pPr>
                                <w:spacing w:line="240" w:lineRule="auto"/>
                                <w:jc w:val="center"/>
                                <w:rPr>
                                  <w:sz w:val="20"/>
                                  <w:szCs w:val="18"/>
                                  <w:lang w:val="en-US"/>
                                </w:rPr>
                              </w:pPr>
                            </w:p>
                            <w:p w14:paraId="799DFB3E" w14:textId="0075854B" w:rsidR="00ED3876" w:rsidRPr="00C4266A" w:rsidRDefault="00ED3876" w:rsidP="00ED3876">
                              <w:pPr>
                                <w:spacing w:line="240" w:lineRule="auto"/>
                                <w:jc w:val="center"/>
                                <w:rPr>
                                  <w:b/>
                                  <w:bCs/>
                                  <w:sz w:val="20"/>
                                  <w:szCs w:val="18"/>
                                </w:rPr>
                              </w:pPr>
                              <w:r w:rsidRPr="00C4266A">
                                <w:rPr>
                                  <w:b/>
                                  <w:bCs/>
                                  <w:sz w:val="20"/>
                                  <w:szCs w:val="18"/>
                                  <w:lang w:val="en-US"/>
                                </w:rPr>
                                <w:t>LS</w:t>
                              </w:r>
                            </w:p>
                          </w:txbxContent>
                        </wps:txbx>
                        <wps:bodyPr rot="0" vert="horz" wrap="square" lIns="91440" tIns="45720" rIns="91440" bIns="45720" anchor="t" anchorCtr="0">
                          <a:noAutofit/>
                        </wps:bodyPr>
                      </wps:wsp>
                      <wps:wsp>
                        <wps:cNvPr id="4" name="Text Box 4"/>
                        <wps:cNvSpPr txBox="1">
                          <a:spLocks noChangeArrowheads="1"/>
                        </wps:cNvSpPr>
                        <wps:spPr bwMode="auto">
                          <a:xfrm>
                            <a:off x="9525" y="1866900"/>
                            <a:ext cx="800100" cy="552450"/>
                          </a:xfrm>
                          <a:prstGeom prst="rect">
                            <a:avLst/>
                          </a:prstGeom>
                          <a:solidFill>
                            <a:srgbClr val="FFFFFF"/>
                          </a:solidFill>
                          <a:ln w="9525">
                            <a:solidFill>
                              <a:srgbClr val="000000"/>
                            </a:solidFill>
                            <a:miter lim="800000"/>
                            <a:headEnd/>
                            <a:tailEnd/>
                          </a:ln>
                        </wps:spPr>
                        <wps:txbx>
                          <w:txbxContent>
                            <w:p w14:paraId="37003FFB" w14:textId="77777777" w:rsidR="00ED3876" w:rsidRDefault="00ED3876" w:rsidP="00ED3876">
                              <w:pPr>
                                <w:spacing w:line="240" w:lineRule="auto"/>
                                <w:jc w:val="center"/>
                                <w:rPr>
                                  <w:sz w:val="20"/>
                                  <w:szCs w:val="18"/>
                                  <w:lang w:val="en-US"/>
                                </w:rPr>
                              </w:pPr>
                            </w:p>
                            <w:p w14:paraId="1FA35574" w14:textId="63246E09" w:rsidR="00ED3876" w:rsidRPr="00C4266A" w:rsidRDefault="00ED3876" w:rsidP="00ED3876">
                              <w:pPr>
                                <w:spacing w:line="240" w:lineRule="auto"/>
                                <w:jc w:val="center"/>
                                <w:rPr>
                                  <w:b/>
                                  <w:bCs/>
                                  <w:sz w:val="20"/>
                                  <w:szCs w:val="18"/>
                                </w:rPr>
                              </w:pPr>
                              <w:r w:rsidRPr="00C4266A">
                                <w:rPr>
                                  <w:b/>
                                  <w:bCs/>
                                  <w:sz w:val="20"/>
                                  <w:szCs w:val="18"/>
                                  <w:lang w:val="en-US"/>
                                </w:rPr>
                                <w:t>PD</w:t>
                              </w:r>
                            </w:p>
                          </w:txbxContent>
                        </wps:txbx>
                        <wps:bodyPr rot="0" vert="horz" wrap="square" lIns="91440" tIns="45720" rIns="91440" bIns="45720" anchor="t" anchorCtr="0">
                          <a:noAutofit/>
                        </wps:bodyPr>
                      </wps:wsp>
                      <wps:wsp>
                        <wps:cNvPr id="5" name="Text Box 5"/>
                        <wps:cNvSpPr txBox="1">
                          <a:spLocks noChangeArrowheads="1"/>
                        </wps:cNvSpPr>
                        <wps:spPr bwMode="auto">
                          <a:xfrm>
                            <a:off x="1847850" y="504825"/>
                            <a:ext cx="800100" cy="457200"/>
                          </a:xfrm>
                          <a:prstGeom prst="rect">
                            <a:avLst/>
                          </a:prstGeom>
                          <a:solidFill>
                            <a:srgbClr val="FFFFFF"/>
                          </a:solidFill>
                          <a:ln w="9525">
                            <a:solidFill>
                              <a:srgbClr val="000000"/>
                            </a:solidFill>
                            <a:miter lim="800000"/>
                            <a:headEnd/>
                            <a:tailEnd/>
                          </a:ln>
                        </wps:spPr>
                        <wps:txbx>
                          <w:txbxContent>
                            <w:p w14:paraId="5BF7E4AE" w14:textId="77777777" w:rsidR="00535AAE" w:rsidRDefault="00535AAE" w:rsidP="00C4266A">
                              <w:pPr>
                                <w:spacing w:line="240" w:lineRule="auto"/>
                                <w:jc w:val="center"/>
                                <w:rPr>
                                  <w:b/>
                                  <w:bCs/>
                                  <w:sz w:val="20"/>
                                  <w:szCs w:val="18"/>
                                  <w:lang w:val="en-US"/>
                                </w:rPr>
                              </w:pPr>
                            </w:p>
                            <w:p w14:paraId="09DC6EC0" w14:textId="7641F8EF" w:rsidR="00ED3876" w:rsidRPr="00C4266A" w:rsidRDefault="00ED3876" w:rsidP="00C4266A">
                              <w:pPr>
                                <w:spacing w:line="240" w:lineRule="auto"/>
                                <w:jc w:val="center"/>
                                <w:rPr>
                                  <w:b/>
                                  <w:bCs/>
                                  <w:sz w:val="20"/>
                                  <w:szCs w:val="18"/>
                                  <w:lang w:val="en-US"/>
                                </w:rPr>
                              </w:pPr>
                              <w:r w:rsidRPr="00C4266A">
                                <w:rPr>
                                  <w:b/>
                                  <w:bCs/>
                                  <w:sz w:val="20"/>
                                  <w:szCs w:val="18"/>
                                  <w:lang w:val="en-US"/>
                                </w:rPr>
                                <w:t>E-Tax</w:t>
                              </w:r>
                            </w:p>
                            <w:p w14:paraId="088C46EF" w14:textId="1703578A" w:rsidR="00ED3876" w:rsidRPr="00ED3876" w:rsidRDefault="00ED3876" w:rsidP="00C4266A">
                              <w:pPr>
                                <w:spacing w:line="240" w:lineRule="auto"/>
                                <w:jc w:val="center"/>
                                <w:rPr>
                                  <w:sz w:val="20"/>
                                  <w:szCs w:val="18"/>
                                </w:rPr>
                              </w:pPr>
                            </w:p>
                          </w:txbxContent>
                        </wps:txbx>
                        <wps:bodyPr rot="0" vert="horz" wrap="square" lIns="91440" tIns="45720" rIns="91440" bIns="45720" anchor="t" anchorCtr="0">
                          <a:noAutofit/>
                        </wps:bodyPr>
                      </wps:wsp>
                      <wps:wsp>
                        <wps:cNvPr id="6" name="Text Box 6"/>
                        <wps:cNvSpPr txBox="1">
                          <a:spLocks noChangeArrowheads="1"/>
                        </wps:cNvSpPr>
                        <wps:spPr bwMode="auto">
                          <a:xfrm>
                            <a:off x="3695700" y="1000125"/>
                            <a:ext cx="800100" cy="552450"/>
                          </a:xfrm>
                          <a:prstGeom prst="rect">
                            <a:avLst/>
                          </a:prstGeom>
                          <a:solidFill>
                            <a:srgbClr val="FFFFFF"/>
                          </a:solidFill>
                          <a:ln w="9525">
                            <a:solidFill>
                              <a:srgbClr val="000000"/>
                            </a:solidFill>
                            <a:miter lim="800000"/>
                            <a:headEnd/>
                            <a:tailEnd/>
                          </a:ln>
                        </wps:spPr>
                        <wps:txbx>
                          <w:txbxContent>
                            <w:p w14:paraId="7CE44BEA" w14:textId="17C5076E" w:rsidR="00ED3876" w:rsidRPr="00C4266A" w:rsidRDefault="00ED3876" w:rsidP="00ED3876">
                              <w:pPr>
                                <w:spacing w:line="240" w:lineRule="auto"/>
                                <w:jc w:val="center"/>
                                <w:rPr>
                                  <w:b/>
                                  <w:bCs/>
                                  <w:sz w:val="20"/>
                                  <w:szCs w:val="18"/>
                                  <w:lang w:val="en-US"/>
                                </w:rPr>
                              </w:pPr>
                              <w:r w:rsidRPr="00C4266A">
                                <w:rPr>
                                  <w:b/>
                                  <w:bCs/>
                                  <w:sz w:val="20"/>
                                  <w:szCs w:val="18"/>
                                  <w:lang w:val="en-US"/>
                                </w:rPr>
                                <w:t>TO</w:t>
                              </w:r>
                            </w:p>
                            <w:p w14:paraId="7CBABE8E" w14:textId="47DAD88F" w:rsidR="00047325" w:rsidRPr="00ED3876" w:rsidRDefault="00047325" w:rsidP="00ED3876">
                              <w:pPr>
                                <w:spacing w:line="240" w:lineRule="auto"/>
                                <w:jc w:val="center"/>
                                <w:rPr>
                                  <w:sz w:val="20"/>
                                  <w:szCs w:val="18"/>
                                </w:rPr>
                              </w:pPr>
                              <w:r>
                                <w:rPr>
                                  <w:sz w:val="20"/>
                                  <w:szCs w:val="18"/>
                                  <w:lang w:val="en-US"/>
                                </w:rPr>
                                <w:t>R</w:t>
                              </w:r>
                              <w:r w:rsidRPr="00FF447A">
                                <w:rPr>
                                  <w:sz w:val="20"/>
                                  <w:szCs w:val="18"/>
                                  <w:vertAlign w:val="superscript"/>
                                  <w:lang w:val="en-US"/>
                                </w:rPr>
                                <w:t>2</w:t>
                              </w:r>
                              <w:r>
                                <w:rPr>
                                  <w:sz w:val="20"/>
                                  <w:szCs w:val="18"/>
                                  <w:lang w:val="en-US"/>
                                </w:rPr>
                                <w:t xml:space="preserve"> = .</w:t>
                              </w:r>
                              <w:r w:rsidR="00C968EA">
                                <w:rPr>
                                  <w:sz w:val="20"/>
                                  <w:szCs w:val="18"/>
                                  <w:lang w:val="en-US"/>
                                </w:rPr>
                                <w:t>271</w:t>
                              </w:r>
                            </w:p>
                          </w:txbxContent>
                        </wps:txbx>
                        <wps:bodyPr rot="0" vert="horz" wrap="square" lIns="91440" tIns="45720" rIns="91440" bIns="45720" anchor="t" anchorCtr="0">
                          <a:noAutofit/>
                        </wps:bodyPr>
                      </wps:wsp>
                      <wps:wsp>
                        <wps:cNvPr id="8" name="Straight Arrow Connector 8"/>
                        <wps:cNvCnPr/>
                        <wps:spPr>
                          <a:xfrm>
                            <a:off x="800100" y="1438275"/>
                            <a:ext cx="28765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flipV="1">
                            <a:off x="4143375" y="1524000"/>
                            <a:ext cx="9525" cy="685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a:off x="790575" y="38100"/>
                            <a:ext cx="3267075" cy="28575"/>
                          </a:xfrm>
                          <a:prstGeom prst="line">
                            <a:avLst/>
                          </a:prstGeom>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a:off x="809625" y="2200275"/>
                            <a:ext cx="3352800" cy="9525"/>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a:off x="1924050" y="981075"/>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flipV="1">
                            <a:off x="1962150" y="66675"/>
                            <a:ext cx="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Text Box 19"/>
                        <wps:cNvSpPr txBox="1">
                          <a:spLocks noChangeArrowheads="1"/>
                        </wps:cNvSpPr>
                        <wps:spPr bwMode="auto">
                          <a:xfrm>
                            <a:off x="866775" y="133350"/>
                            <a:ext cx="647700" cy="400050"/>
                          </a:xfrm>
                          <a:prstGeom prst="rect">
                            <a:avLst/>
                          </a:prstGeom>
                          <a:solidFill>
                            <a:srgbClr val="FFFFFF"/>
                          </a:solidFill>
                          <a:ln w="9525">
                            <a:noFill/>
                            <a:miter lim="800000"/>
                            <a:headEnd/>
                            <a:tailEnd/>
                          </a:ln>
                        </wps:spPr>
                        <wps:txbx>
                          <w:txbxContent>
                            <w:p w14:paraId="43F4627D" w14:textId="52B63ED1" w:rsidR="00047325" w:rsidRPr="00015432" w:rsidRDefault="00047325" w:rsidP="005142D1">
                              <w:pPr>
                                <w:spacing w:line="240" w:lineRule="auto"/>
                                <w:rPr>
                                  <w:sz w:val="18"/>
                                  <w:szCs w:val="18"/>
                                  <w:lang w:val="en-US"/>
                                </w:rPr>
                              </w:pPr>
                              <w:r w:rsidRPr="00015432">
                                <w:rPr>
                                  <w:rFonts w:cs="Times New Roman"/>
                                  <w:sz w:val="18"/>
                                  <w:szCs w:val="18"/>
                                  <w:lang w:val="en-US"/>
                                </w:rPr>
                                <w:t>β</w:t>
                              </w:r>
                              <w:r w:rsidRPr="00015432">
                                <w:rPr>
                                  <w:sz w:val="18"/>
                                  <w:szCs w:val="18"/>
                                  <w:lang w:val="en-US"/>
                                </w:rPr>
                                <w:t xml:space="preserve"> = .517</w:t>
                              </w:r>
                            </w:p>
                            <w:p w14:paraId="3494B61D" w14:textId="3C724BC1" w:rsidR="00047325" w:rsidRPr="00015432" w:rsidRDefault="00015432" w:rsidP="005142D1">
                              <w:pPr>
                                <w:spacing w:line="240" w:lineRule="auto"/>
                                <w:rPr>
                                  <w:sz w:val="18"/>
                                  <w:szCs w:val="18"/>
                                </w:rPr>
                              </w:pPr>
                              <w:r w:rsidRPr="00015432">
                                <w:rPr>
                                  <w:noProof/>
                                  <w:sz w:val="18"/>
                                  <w:szCs w:val="18"/>
                                  <w:lang w:val="en-US"/>
                                </w:rPr>
                                <w:t>ρ = .000</w:t>
                              </w:r>
                            </w:p>
                          </w:txbxContent>
                        </wps:txbx>
                        <wps:bodyPr rot="0" vert="horz" wrap="square" lIns="91440" tIns="45720" rIns="91440" bIns="45720" anchor="t" anchorCtr="0">
                          <a:noAutofit/>
                        </wps:bodyPr>
                      </wps:wsp>
                      <wps:wsp>
                        <wps:cNvPr id="15" name="Straight Arrow Connector 15"/>
                        <wps:cNvCnPr/>
                        <wps:spPr>
                          <a:xfrm>
                            <a:off x="2590800" y="981075"/>
                            <a:ext cx="0" cy="1162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Text Box 20"/>
                        <wps:cNvSpPr txBox="1">
                          <a:spLocks noChangeArrowheads="1"/>
                        </wps:cNvSpPr>
                        <wps:spPr bwMode="auto">
                          <a:xfrm>
                            <a:off x="885825" y="990600"/>
                            <a:ext cx="647700" cy="361950"/>
                          </a:xfrm>
                          <a:prstGeom prst="rect">
                            <a:avLst/>
                          </a:prstGeom>
                          <a:solidFill>
                            <a:srgbClr val="FFFFFF"/>
                          </a:solidFill>
                          <a:ln w="9525">
                            <a:noFill/>
                            <a:miter lim="800000"/>
                            <a:headEnd/>
                            <a:tailEnd/>
                          </a:ln>
                        </wps:spPr>
                        <wps:txbx>
                          <w:txbxContent>
                            <w:p w14:paraId="6571D109" w14:textId="5F7614C9" w:rsidR="00015432" w:rsidRPr="00015432" w:rsidRDefault="00015432" w:rsidP="00015432">
                              <w:pPr>
                                <w:spacing w:line="240" w:lineRule="auto"/>
                                <w:rPr>
                                  <w:sz w:val="18"/>
                                  <w:szCs w:val="18"/>
                                  <w:lang w:val="en-US"/>
                                </w:rPr>
                              </w:pPr>
                              <w:r w:rsidRPr="00015432">
                                <w:rPr>
                                  <w:rFonts w:cs="Times New Roman"/>
                                  <w:sz w:val="18"/>
                                  <w:szCs w:val="18"/>
                                  <w:lang w:val="en-US"/>
                                </w:rPr>
                                <w:t>β</w:t>
                              </w:r>
                              <w:r w:rsidRPr="00015432">
                                <w:rPr>
                                  <w:sz w:val="18"/>
                                  <w:szCs w:val="18"/>
                                  <w:lang w:val="en-US"/>
                                </w:rPr>
                                <w:t xml:space="preserve"> = .</w:t>
                              </w:r>
                              <w:r>
                                <w:rPr>
                                  <w:sz w:val="18"/>
                                  <w:szCs w:val="18"/>
                                  <w:lang w:val="en-US"/>
                                </w:rPr>
                                <w:t>236</w:t>
                              </w:r>
                            </w:p>
                            <w:p w14:paraId="5A6D2EF2" w14:textId="6B2FA642" w:rsidR="00015432" w:rsidRPr="00015432" w:rsidRDefault="00015432" w:rsidP="00015432">
                              <w:pPr>
                                <w:spacing w:line="240" w:lineRule="auto"/>
                                <w:rPr>
                                  <w:sz w:val="18"/>
                                  <w:szCs w:val="18"/>
                                </w:rPr>
                              </w:pPr>
                              <w:r w:rsidRPr="00015432">
                                <w:rPr>
                                  <w:noProof/>
                                  <w:sz w:val="18"/>
                                  <w:szCs w:val="18"/>
                                  <w:lang w:val="en-US"/>
                                </w:rPr>
                                <w:t>ρ = .00</w:t>
                              </w:r>
                              <w:r>
                                <w:rPr>
                                  <w:noProof/>
                                  <w:sz w:val="18"/>
                                  <w:szCs w:val="18"/>
                                  <w:lang w:val="en-US"/>
                                </w:rPr>
                                <w:t>7</w:t>
                              </w:r>
                            </w:p>
                          </w:txbxContent>
                        </wps:txbx>
                        <wps:bodyPr rot="0" vert="horz" wrap="square" lIns="91440" tIns="45720" rIns="91440" bIns="45720" anchor="t" anchorCtr="0">
                          <a:noAutofit/>
                        </wps:bodyPr>
                      </wps:wsp>
                      <wps:wsp>
                        <wps:cNvPr id="21" name="Text Box 21"/>
                        <wps:cNvSpPr txBox="1">
                          <a:spLocks noChangeArrowheads="1"/>
                        </wps:cNvSpPr>
                        <wps:spPr bwMode="auto">
                          <a:xfrm>
                            <a:off x="904875" y="1790700"/>
                            <a:ext cx="647700" cy="361950"/>
                          </a:xfrm>
                          <a:prstGeom prst="rect">
                            <a:avLst/>
                          </a:prstGeom>
                          <a:solidFill>
                            <a:srgbClr val="FFFFFF"/>
                          </a:solidFill>
                          <a:ln w="9525">
                            <a:noFill/>
                            <a:miter lim="800000"/>
                            <a:headEnd/>
                            <a:tailEnd/>
                          </a:ln>
                        </wps:spPr>
                        <wps:txbx>
                          <w:txbxContent>
                            <w:p w14:paraId="1E0A2598" w14:textId="15A22B18" w:rsidR="00015432" w:rsidRPr="00015432" w:rsidRDefault="00015432" w:rsidP="00015432">
                              <w:pPr>
                                <w:spacing w:line="240" w:lineRule="auto"/>
                                <w:rPr>
                                  <w:sz w:val="18"/>
                                  <w:szCs w:val="18"/>
                                  <w:lang w:val="en-US"/>
                                </w:rPr>
                              </w:pPr>
                              <w:r w:rsidRPr="00015432">
                                <w:rPr>
                                  <w:rFonts w:cs="Times New Roman"/>
                                  <w:sz w:val="18"/>
                                  <w:szCs w:val="18"/>
                                  <w:lang w:val="en-US"/>
                                </w:rPr>
                                <w:t>β</w:t>
                              </w:r>
                              <w:r w:rsidRPr="00015432">
                                <w:rPr>
                                  <w:sz w:val="18"/>
                                  <w:szCs w:val="18"/>
                                  <w:lang w:val="en-US"/>
                                </w:rPr>
                                <w:t xml:space="preserve"> = .</w:t>
                              </w:r>
                              <w:r>
                                <w:rPr>
                                  <w:sz w:val="18"/>
                                  <w:szCs w:val="18"/>
                                  <w:lang w:val="en-US"/>
                                </w:rPr>
                                <w:t>040</w:t>
                              </w:r>
                            </w:p>
                            <w:p w14:paraId="0650F630" w14:textId="2EB590C9" w:rsidR="00015432" w:rsidRPr="00015432" w:rsidRDefault="00015432" w:rsidP="00015432">
                              <w:pPr>
                                <w:spacing w:line="240" w:lineRule="auto"/>
                                <w:rPr>
                                  <w:sz w:val="18"/>
                                  <w:szCs w:val="18"/>
                                </w:rPr>
                              </w:pPr>
                              <w:r w:rsidRPr="00015432">
                                <w:rPr>
                                  <w:noProof/>
                                  <w:sz w:val="18"/>
                                  <w:szCs w:val="18"/>
                                  <w:lang w:val="en-US"/>
                                </w:rPr>
                                <w:t>ρ = .</w:t>
                              </w:r>
                              <w:r w:rsidR="00BE2D09">
                                <w:rPr>
                                  <w:noProof/>
                                  <w:sz w:val="18"/>
                                  <w:szCs w:val="18"/>
                                  <w:lang w:val="en-US"/>
                                </w:rPr>
                                <w:t>499</w:t>
                              </w:r>
                            </w:p>
                          </w:txbxContent>
                        </wps:txbx>
                        <wps:bodyPr rot="0" vert="horz" wrap="square" lIns="91440" tIns="45720" rIns="91440" bIns="45720" anchor="t" anchorCtr="0">
                          <a:noAutofit/>
                        </wps:bodyPr>
                      </wps:wsp>
                      <wps:wsp>
                        <wps:cNvPr id="25" name="Text Box 25"/>
                        <wps:cNvSpPr txBox="1">
                          <a:spLocks noChangeArrowheads="1"/>
                        </wps:cNvSpPr>
                        <wps:spPr bwMode="auto">
                          <a:xfrm>
                            <a:off x="2009775" y="114300"/>
                            <a:ext cx="647700" cy="333375"/>
                          </a:xfrm>
                          <a:prstGeom prst="rect">
                            <a:avLst/>
                          </a:prstGeom>
                          <a:solidFill>
                            <a:srgbClr val="FFFFFF"/>
                          </a:solidFill>
                          <a:ln w="9525">
                            <a:noFill/>
                            <a:miter lim="800000"/>
                            <a:headEnd/>
                            <a:tailEnd/>
                          </a:ln>
                        </wps:spPr>
                        <wps:txbx>
                          <w:txbxContent>
                            <w:p w14:paraId="2A4D0745" w14:textId="4CFFAD20" w:rsidR="00B67A1B" w:rsidRPr="00B67A1B" w:rsidRDefault="00B67A1B" w:rsidP="00B67A1B">
                              <w:pPr>
                                <w:spacing w:line="240" w:lineRule="auto"/>
                                <w:rPr>
                                  <w:sz w:val="16"/>
                                  <w:szCs w:val="16"/>
                                  <w:lang w:val="en-US"/>
                                </w:rPr>
                              </w:pPr>
                              <w:r w:rsidRPr="00B67A1B">
                                <w:rPr>
                                  <w:rFonts w:cs="Times New Roman"/>
                                  <w:sz w:val="16"/>
                                  <w:szCs w:val="16"/>
                                  <w:lang w:val="en-US"/>
                                </w:rPr>
                                <w:t>β</w:t>
                              </w:r>
                              <w:r w:rsidRPr="00B67A1B">
                                <w:rPr>
                                  <w:sz w:val="16"/>
                                  <w:szCs w:val="16"/>
                                  <w:lang w:val="en-US"/>
                                </w:rPr>
                                <w:t xml:space="preserve"> =.</w:t>
                              </w:r>
                              <w:r w:rsidR="00A95180">
                                <w:rPr>
                                  <w:sz w:val="16"/>
                                  <w:szCs w:val="16"/>
                                  <w:lang w:val="en-US"/>
                                </w:rPr>
                                <w:t>0</w:t>
                              </w:r>
                              <w:r w:rsidR="00824F94">
                                <w:rPr>
                                  <w:sz w:val="16"/>
                                  <w:szCs w:val="16"/>
                                  <w:lang w:val="en-US"/>
                                </w:rPr>
                                <w:t>2</w:t>
                              </w:r>
                              <w:r w:rsidR="00A95180">
                                <w:rPr>
                                  <w:sz w:val="16"/>
                                  <w:szCs w:val="16"/>
                                  <w:lang w:val="en-US"/>
                                </w:rPr>
                                <w:t>6</w:t>
                              </w:r>
                            </w:p>
                            <w:p w14:paraId="681C99A9" w14:textId="1A3DFA81" w:rsidR="00B67A1B" w:rsidRPr="00B67A1B" w:rsidRDefault="00B67A1B" w:rsidP="00B67A1B">
                              <w:pPr>
                                <w:spacing w:line="240" w:lineRule="auto"/>
                                <w:rPr>
                                  <w:sz w:val="16"/>
                                  <w:szCs w:val="16"/>
                                </w:rPr>
                              </w:pPr>
                              <w:r w:rsidRPr="00B67A1B">
                                <w:rPr>
                                  <w:noProof/>
                                  <w:sz w:val="16"/>
                                  <w:szCs w:val="16"/>
                                  <w:lang w:val="en-US"/>
                                </w:rPr>
                                <w:t>ρ = .</w:t>
                              </w:r>
                              <w:r w:rsidR="00A95180">
                                <w:rPr>
                                  <w:noProof/>
                                  <w:sz w:val="16"/>
                                  <w:szCs w:val="16"/>
                                  <w:lang w:val="en-US"/>
                                </w:rPr>
                                <w:t>516</w:t>
                              </w:r>
                            </w:p>
                          </w:txbxContent>
                        </wps:txbx>
                        <wps:bodyPr rot="0" vert="horz" wrap="square" lIns="91440" tIns="45720" rIns="91440" bIns="45720" anchor="t" anchorCtr="0">
                          <a:noAutofit/>
                        </wps:bodyPr>
                      </wps:wsp>
                      <wps:wsp>
                        <wps:cNvPr id="27" name="Text Box 27"/>
                        <wps:cNvSpPr txBox="1">
                          <a:spLocks noChangeArrowheads="1"/>
                        </wps:cNvSpPr>
                        <wps:spPr bwMode="auto">
                          <a:xfrm>
                            <a:off x="2000250" y="1028700"/>
                            <a:ext cx="542925" cy="333375"/>
                          </a:xfrm>
                          <a:prstGeom prst="rect">
                            <a:avLst/>
                          </a:prstGeom>
                          <a:solidFill>
                            <a:srgbClr val="FFFFFF"/>
                          </a:solidFill>
                          <a:ln w="9525">
                            <a:noFill/>
                            <a:miter lim="800000"/>
                            <a:headEnd/>
                            <a:tailEnd/>
                          </a:ln>
                        </wps:spPr>
                        <wps:txbx>
                          <w:txbxContent>
                            <w:p w14:paraId="1DC93F89" w14:textId="28FA6949" w:rsidR="00B67A1B" w:rsidRPr="00B67A1B" w:rsidRDefault="00B67A1B" w:rsidP="00B67A1B">
                              <w:pPr>
                                <w:spacing w:line="240" w:lineRule="auto"/>
                                <w:rPr>
                                  <w:sz w:val="16"/>
                                  <w:szCs w:val="16"/>
                                  <w:lang w:val="en-US"/>
                                </w:rPr>
                              </w:pPr>
                              <w:r w:rsidRPr="00B67A1B">
                                <w:rPr>
                                  <w:rFonts w:cs="Times New Roman"/>
                                  <w:sz w:val="16"/>
                                  <w:szCs w:val="16"/>
                                  <w:lang w:val="en-US"/>
                                </w:rPr>
                                <w:t>β</w:t>
                              </w:r>
                              <w:r w:rsidRPr="00B67A1B">
                                <w:rPr>
                                  <w:sz w:val="16"/>
                                  <w:szCs w:val="16"/>
                                  <w:lang w:val="en-US"/>
                                </w:rPr>
                                <w:t xml:space="preserve"> = .</w:t>
                              </w:r>
                              <w:r w:rsidR="00A95180">
                                <w:rPr>
                                  <w:sz w:val="16"/>
                                  <w:szCs w:val="16"/>
                                  <w:lang w:val="en-US"/>
                                </w:rPr>
                                <w:t>0</w:t>
                              </w:r>
                              <w:r w:rsidR="00A76CEA">
                                <w:rPr>
                                  <w:sz w:val="16"/>
                                  <w:szCs w:val="16"/>
                                  <w:lang w:val="en-US"/>
                                </w:rPr>
                                <w:t>2</w:t>
                              </w:r>
                              <w:r w:rsidR="00A95180">
                                <w:rPr>
                                  <w:sz w:val="16"/>
                                  <w:szCs w:val="16"/>
                                  <w:lang w:val="en-US"/>
                                </w:rPr>
                                <w:t>8</w:t>
                              </w:r>
                            </w:p>
                            <w:p w14:paraId="4C97376C" w14:textId="24A446CE" w:rsidR="00B67A1B" w:rsidRPr="00B67A1B" w:rsidRDefault="00B67A1B" w:rsidP="00B67A1B">
                              <w:pPr>
                                <w:spacing w:line="240" w:lineRule="auto"/>
                                <w:rPr>
                                  <w:sz w:val="16"/>
                                  <w:szCs w:val="16"/>
                                </w:rPr>
                              </w:pPr>
                              <w:r w:rsidRPr="00B67A1B">
                                <w:rPr>
                                  <w:noProof/>
                                  <w:sz w:val="16"/>
                                  <w:szCs w:val="16"/>
                                  <w:lang w:val="en-US"/>
                                </w:rPr>
                                <w:t>ρ = .</w:t>
                              </w:r>
                              <w:r w:rsidR="00A95180">
                                <w:rPr>
                                  <w:noProof/>
                                  <w:sz w:val="16"/>
                                  <w:szCs w:val="16"/>
                                  <w:lang w:val="en-US"/>
                                </w:rPr>
                                <w:t>564</w:t>
                              </w:r>
                            </w:p>
                          </w:txbxContent>
                        </wps:txbx>
                        <wps:bodyPr rot="0" vert="horz" wrap="square" lIns="91440" tIns="45720" rIns="91440" bIns="45720" anchor="t" anchorCtr="0">
                          <a:noAutofit/>
                        </wps:bodyPr>
                      </wps:wsp>
                      <wps:wsp>
                        <wps:cNvPr id="30" name="Straight Arrow Connector 30"/>
                        <wps:cNvCnPr/>
                        <wps:spPr>
                          <a:xfrm>
                            <a:off x="4038600" y="66675"/>
                            <a:ext cx="0" cy="9214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Text Box 28"/>
                        <wps:cNvSpPr txBox="1">
                          <a:spLocks noChangeArrowheads="1"/>
                        </wps:cNvSpPr>
                        <wps:spPr bwMode="auto">
                          <a:xfrm>
                            <a:off x="2619375" y="1809750"/>
                            <a:ext cx="647700" cy="333375"/>
                          </a:xfrm>
                          <a:prstGeom prst="rect">
                            <a:avLst/>
                          </a:prstGeom>
                          <a:solidFill>
                            <a:srgbClr val="FFFFFF"/>
                          </a:solidFill>
                          <a:ln w="9525">
                            <a:noFill/>
                            <a:miter lim="800000"/>
                            <a:headEnd/>
                            <a:tailEnd/>
                          </a:ln>
                        </wps:spPr>
                        <wps:txbx>
                          <w:txbxContent>
                            <w:p w14:paraId="4B934780" w14:textId="2E6DE3F8" w:rsidR="00B67A1B" w:rsidRPr="00B67A1B" w:rsidRDefault="00B67A1B" w:rsidP="00B67A1B">
                              <w:pPr>
                                <w:spacing w:line="240" w:lineRule="auto"/>
                                <w:rPr>
                                  <w:sz w:val="16"/>
                                  <w:szCs w:val="16"/>
                                  <w:lang w:val="en-US"/>
                                </w:rPr>
                              </w:pPr>
                              <w:r w:rsidRPr="00B67A1B">
                                <w:rPr>
                                  <w:rFonts w:cs="Times New Roman"/>
                                  <w:sz w:val="16"/>
                                  <w:szCs w:val="16"/>
                                  <w:lang w:val="en-US"/>
                                </w:rPr>
                                <w:t>β</w:t>
                              </w:r>
                              <w:r w:rsidRPr="00B67A1B">
                                <w:rPr>
                                  <w:sz w:val="16"/>
                                  <w:szCs w:val="16"/>
                                  <w:lang w:val="en-US"/>
                                </w:rPr>
                                <w:t xml:space="preserve"> = .</w:t>
                              </w:r>
                              <w:r w:rsidR="00A95180">
                                <w:rPr>
                                  <w:sz w:val="16"/>
                                  <w:szCs w:val="16"/>
                                  <w:lang w:val="en-US"/>
                                </w:rPr>
                                <w:t>006</w:t>
                              </w:r>
                            </w:p>
                            <w:p w14:paraId="6C2AE0C0" w14:textId="2F9B7781" w:rsidR="00B67A1B" w:rsidRPr="00B67A1B" w:rsidRDefault="00B67A1B" w:rsidP="00B67A1B">
                              <w:pPr>
                                <w:spacing w:line="240" w:lineRule="auto"/>
                                <w:rPr>
                                  <w:sz w:val="16"/>
                                  <w:szCs w:val="16"/>
                                </w:rPr>
                              </w:pPr>
                              <w:r w:rsidRPr="00B67A1B">
                                <w:rPr>
                                  <w:noProof/>
                                  <w:sz w:val="16"/>
                                  <w:szCs w:val="16"/>
                                  <w:lang w:val="en-US"/>
                                </w:rPr>
                                <w:t>ρ = .</w:t>
                              </w:r>
                              <w:r w:rsidR="00A95180">
                                <w:rPr>
                                  <w:noProof/>
                                  <w:sz w:val="16"/>
                                  <w:szCs w:val="16"/>
                                  <w:lang w:val="en-US"/>
                                </w:rPr>
                                <w:t>517</w:t>
                              </w:r>
                            </w:p>
                          </w:txbxContent>
                        </wps:txbx>
                        <wps:bodyPr rot="0" vert="horz" wrap="square" lIns="91440" tIns="45720" rIns="91440" bIns="45720" anchor="t" anchorCtr="0">
                          <a:noAutofit/>
                        </wps:bodyPr>
                      </wps:wsp>
                    </wpg:wgp>
                  </a:graphicData>
                </a:graphic>
              </wp:anchor>
            </w:drawing>
          </mc:Choice>
          <mc:Fallback>
            <w:pict>
              <v:group w14:anchorId="4281E995" id="Group 12" o:spid="_x0000_s1026" style="position:absolute;left:0;text-align:left;margin-left:11.25pt;margin-top:3.45pt;width:354pt;height:190.5pt;z-index:251667456" coordsize="44958,24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">
                <v:shapetype id="_x0000_t202" coordsize="21600,21600" o:spt="202" path="m,l,21600r21600,l21600,xe">
                  <v:stroke joinstyle="miter"/>
                  <v:path gradientshapeok="t" o:connecttype="rect"/>
                </v:shapetype>
                <v:shape id="Text Box 2" o:spid="_x0000_s1027" type="#_x0000_t202" style="position:absolute;width:8001;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51DA3EF9" w14:textId="77777777" w:rsidR="00ED3876" w:rsidRDefault="00ED3876" w:rsidP="00ED3876">
                        <w:pPr>
                          <w:spacing w:line="240" w:lineRule="auto"/>
                          <w:jc w:val="center"/>
                          <w:rPr>
                            <w:sz w:val="20"/>
                            <w:szCs w:val="18"/>
                            <w:lang w:val="en-US"/>
                          </w:rPr>
                        </w:pPr>
                      </w:p>
                      <w:p w14:paraId="3C72C48D" w14:textId="208CBA78" w:rsidR="00ED3876" w:rsidRPr="00C4266A" w:rsidRDefault="00ED3876" w:rsidP="00ED3876">
                        <w:pPr>
                          <w:spacing w:line="240" w:lineRule="auto"/>
                          <w:jc w:val="center"/>
                          <w:rPr>
                            <w:b/>
                            <w:bCs/>
                            <w:sz w:val="20"/>
                            <w:szCs w:val="18"/>
                          </w:rPr>
                        </w:pPr>
                        <w:r w:rsidRPr="00C4266A">
                          <w:rPr>
                            <w:b/>
                            <w:bCs/>
                            <w:sz w:val="20"/>
                            <w:szCs w:val="18"/>
                            <w:lang w:val="en-US"/>
                          </w:rPr>
                          <w:t>TS</w:t>
                        </w:r>
                      </w:p>
                    </w:txbxContent>
                  </v:textbox>
                </v:shape>
                <v:shape id="Text Box 3" o:spid="_x0000_s1028" type="#_x0000_t202" style="position:absolute;top:10191;width:8001;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321F6622" w14:textId="77777777" w:rsidR="00ED3876" w:rsidRDefault="00ED3876" w:rsidP="00ED3876">
                        <w:pPr>
                          <w:spacing w:line="240" w:lineRule="auto"/>
                          <w:jc w:val="center"/>
                          <w:rPr>
                            <w:sz w:val="20"/>
                            <w:szCs w:val="18"/>
                            <w:lang w:val="en-US"/>
                          </w:rPr>
                        </w:pPr>
                      </w:p>
                      <w:p w14:paraId="799DFB3E" w14:textId="0075854B" w:rsidR="00ED3876" w:rsidRPr="00C4266A" w:rsidRDefault="00ED3876" w:rsidP="00ED3876">
                        <w:pPr>
                          <w:spacing w:line="240" w:lineRule="auto"/>
                          <w:jc w:val="center"/>
                          <w:rPr>
                            <w:b/>
                            <w:bCs/>
                            <w:sz w:val="20"/>
                            <w:szCs w:val="18"/>
                          </w:rPr>
                        </w:pPr>
                        <w:r w:rsidRPr="00C4266A">
                          <w:rPr>
                            <w:b/>
                            <w:bCs/>
                            <w:sz w:val="20"/>
                            <w:szCs w:val="18"/>
                            <w:lang w:val="en-US"/>
                          </w:rPr>
                          <w:t>LS</w:t>
                        </w:r>
                      </w:p>
                    </w:txbxContent>
                  </v:textbox>
                </v:shape>
                <v:shape id="Text Box 4" o:spid="_x0000_s1029" type="#_x0000_t202" style="position:absolute;left:95;top:18669;width:8001;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37003FFB" w14:textId="77777777" w:rsidR="00ED3876" w:rsidRDefault="00ED3876" w:rsidP="00ED3876">
                        <w:pPr>
                          <w:spacing w:line="240" w:lineRule="auto"/>
                          <w:jc w:val="center"/>
                          <w:rPr>
                            <w:sz w:val="20"/>
                            <w:szCs w:val="18"/>
                            <w:lang w:val="en-US"/>
                          </w:rPr>
                        </w:pPr>
                      </w:p>
                      <w:p w14:paraId="1FA35574" w14:textId="63246E09" w:rsidR="00ED3876" w:rsidRPr="00C4266A" w:rsidRDefault="00ED3876" w:rsidP="00ED3876">
                        <w:pPr>
                          <w:spacing w:line="240" w:lineRule="auto"/>
                          <w:jc w:val="center"/>
                          <w:rPr>
                            <w:b/>
                            <w:bCs/>
                            <w:sz w:val="20"/>
                            <w:szCs w:val="18"/>
                          </w:rPr>
                        </w:pPr>
                        <w:r w:rsidRPr="00C4266A">
                          <w:rPr>
                            <w:b/>
                            <w:bCs/>
                            <w:sz w:val="20"/>
                            <w:szCs w:val="18"/>
                            <w:lang w:val="en-US"/>
                          </w:rPr>
                          <w:t>PD</w:t>
                        </w:r>
                      </w:p>
                    </w:txbxContent>
                  </v:textbox>
                </v:shape>
                <v:shape id="Text Box 5" o:spid="_x0000_s1030" type="#_x0000_t202" style="position:absolute;left:18478;top:5048;width:800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5BF7E4AE" w14:textId="77777777" w:rsidR="00535AAE" w:rsidRDefault="00535AAE" w:rsidP="00C4266A">
                        <w:pPr>
                          <w:spacing w:line="240" w:lineRule="auto"/>
                          <w:jc w:val="center"/>
                          <w:rPr>
                            <w:b/>
                            <w:bCs/>
                            <w:sz w:val="20"/>
                            <w:szCs w:val="18"/>
                            <w:lang w:val="en-US"/>
                          </w:rPr>
                        </w:pPr>
                      </w:p>
                      <w:p w14:paraId="09DC6EC0" w14:textId="7641F8EF" w:rsidR="00ED3876" w:rsidRPr="00C4266A" w:rsidRDefault="00ED3876" w:rsidP="00C4266A">
                        <w:pPr>
                          <w:spacing w:line="240" w:lineRule="auto"/>
                          <w:jc w:val="center"/>
                          <w:rPr>
                            <w:b/>
                            <w:bCs/>
                            <w:sz w:val="20"/>
                            <w:szCs w:val="18"/>
                            <w:lang w:val="en-US"/>
                          </w:rPr>
                        </w:pPr>
                        <w:r w:rsidRPr="00C4266A">
                          <w:rPr>
                            <w:b/>
                            <w:bCs/>
                            <w:sz w:val="20"/>
                            <w:szCs w:val="18"/>
                            <w:lang w:val="en-US"/>
                          </w:rPr>
                          <w:t>E-Tax</w:t>
                        </w:r>
                      </w:p>
                      <w:p w14:paraId="088C46EF" w14:textId="1703578A" w:rsidR="00ED3876" w:rsidRPr="00ED3876" w:rsidRDefault="00ED3876" w:rsidP="00C4266A">
                        <w:pPr>
                          <w:spacing w:line="240" w:lineRule="auto"/>
                          <w:jc w:val="center"/>
                          <w:rPr>
                            <w:sz w:val="20"/>
                            <w:szCs w:val="18"/>
                          </w:rPr>
                        </w:pPr>
                      </w:p>
                    </w:txbxContent>
                  </v:textbox>
                </v:shape>
                <v:shape id="Text Box 6" o:spid="_x0000_s1031" type="#_x0000_t202" style="position:absolute;left:36957;top:10001;width:8001;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7CE44BEA" w14:textId="17C5076E" w:rsidR="00ED3876" w:rsidRPr="00C4266A" w:rsidRDefault="00ED3876" w:rsidP="00ED3876">
                        <w:pPr>
                          <w:spacing w:line="240" w:lineRule="auto"/>
                          <w:jc w:val="center"/>
                          <w:rPr>
                            <w:b/>
                            <w:bCs/>
                            <w:sz w:val="20"/>
                            <w:szCs w:val="18"/>
                            <w:lang w:val="en-US"/>
                          </w:rPr>
                        </w:pPr>
                        <w:r w:rsidRPr="00C4266A">
                          <w:rPr>
                            <w:b/>
                            <w:bCs/>
                            <w:sz w:val="20"/>
                            <w:szCs w:val="18"/>
                            <w:lang w:val="en-US"/>
                          </w:rPr>
                          <w:t>TO</w:t>
                        </w:r>
                      </w:p>
                      <w:p w14:paraId="7CBABE8E" w14:textId="47DAD88F" w:rsidR="00047325" w:rsidRPr="00ED3876" w:rsidRDefault="00047325" w:rsidP="00ED3876">
                        <w:pPr>
                          <w:spacing w:line="240" w:lineRule="auto"/>
                          <w:jc w:val="center"/>
                          <w:rPr>
                            <w:sz w:val="20"/>
                            <w:szCs w:val="18"/>
                          </w:rPr>
                        </w:pPr>
                        <w:r>
                          <w:rPr>
                            <w:sz w:val="20"/>
                            <w:szCs w:val="18"/>
                            <w:lang w:val="en-US"/>
                          </w:rPr>
                          <w:t>R</w:t>
                        </w:r>
                        <w:r w:rsidRPr="00FF447A">
                          <w:rPr>
                            <w:sz w:val="20"/>
                            <w:szCs w:val="18"/>
                            <w:vertAlign w:val="superscript"/>
                            <w:lang w:val="en-US"/>
                          </w:rPr>
                          <w:t>2</w:t>
                        </w:r>
                        <w:r>
                          <w:rPr>
                            <w:sz w:val="20"/>
                            <w:szCs w:val="18"/>
                            <w:lang w:val="en-US"/>
                          </w:rPr>
                          <w:t xml:space="preserve"> = .</w:t>
                        </w:r>
                        <w:r w:rsidR="00C968EA">
                          <w:rPr>
                            <w:sz w:val="20"/>
                            <w:szCs w:val="18"/>
                            <w:lang w:val="en-US"/>
                          </w:rPr>
                          <w:t>271</w:t>
                        </w:r>
                      </w:p>
                    </w:txbxContent>
                  </v:textbox>
                </v:shape>
                <v:shapetype id="_x0000_t32" coordsize="21600,21600" o:spt="32" o:oned="t" path="m,l21600,21600e" filled="f">
                  <v:path arrowok="t" fillok="f" o:connecttype="none"/>
                  <o:lock v:ext="edit" shapetype="t"/>
                </v:shapetype>
                <v:shape id="Straight Arrow Connector 8" o:spid="_x0000_s1032" type="#_x0000_t32" style="position:absolute;left:8001;top:14382;width:28765;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" strokecolor="black [3040]">
                  <v:stroke endarrow="block"/>
                </v:shape>
                <v:shape id="Straight Arrow Connector 14" o:spid="_x0000_s1033" type="#_x0000_t32" style="position:absolute;left:41433;top:15240;width:96;height:68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" strokecolor="black [3040]">
                  <v:stroke endarrow="block"/>
                </v:shape>
                <v:line id="Straight Connector 10" o:spid="_x0000_s1034" style="position:absolute;visibility:visible;mso-wrap-style:square" from="7905,381" to="40576,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" strokecolor="black [3040]"/>
                <v:line id="Straight Connector 11" o:spid="_x0000_s1035" style="position:absolute;visibility:visible;mso-wrap-style:square" from="8096,22002" to="41624,2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" strokecolor="black [3040]"/>
                <v:shape id="Straight Arrow Connector 9" o:spid="_x0000_s1036" type="#_x0000_t32" style="position:absolute;left:19240;top:9810;width:0;height:4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" strokecolor="black [3040]">
                  <v:stroke endarrow="block"/>
                </v:shape>
                <v:shape id="Straight Arrow Connector 17" o:spid="_x0000_s1037" type="#_x0000_t32" style="position:absolute;left:19621;top:666;width:0;height:4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" strokecolor="black [3040]">
                  <v:stroke endarrow="block"/>
                </v:shape>
                <v:shape id="Text Box 19" o:spid="_x0000_s1038" type="#_x0000_t202" style="position:absolute;left:8667;top:1333;width:6477;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43F4627D" w14:textId="52B63ED1" w:rsidR="00047325" w:rsidRPr="00015432" w:rsidRDefault="00047325" w:rsidP="005142D1">
                        <w:pPr>
                          <w:spacing w:line="240" w:lineRule="auto"/>
                          <w:rPr>
                            <w:sz w:val="18"/>
                            <w:szCs w:val="18"/>
                            <w:lang w:val="en-US"/>
                          </w:rPr>
                        </w:pPr>
                        <w:r w:rsidRPr="00015432">
                          <w:rPr>
                            <w:rFonts w:cs="Times New Roman"/>
                            <w:sz w:val="18"/>
                            <w:szCs w:val="18"/>
                            <w:lang w:val="en-US"/>
                          </w:rPr>
                          <w:t>β</w:t>
                        </w:r>
                        <w:r w:rsidRPr="00015432">
                          <w:rPr>
                            <w:sz w:val="18"/>
                            <w:szCs w:val="18"/>
                            <w:lang w:val="en-US"/>
                          </w:rPr>
                          <w:t xml:space="preserve"> = .517</w:t>
                        </w:r>
                      </w:p>
                      <w:p w14:paraId="3494B61D" w14:textId="3C724BC1" w:rsidR="00047325" w:rsidRPr="00015432" w:rsidRDefault="00015432" w:rsidP="005142D1">
                        <w:pPr>
                          <w:spacing w:line="240" w:lineRule="auto"/>
                          <w:rPr>
                            <w:sz w:val="18"/>
                            <w:szCs w:val="18"/>
                          </w:rPr>
                        </w:pPr>
                        <w:r w:rsidRPr="00015432">
                          <w:rPr>
                            <w:noProof/>
                            <w:sz w:val="18"/>
                            <w:szCs w:val="18"/>
                            <w:lang w:val="en-US"/>
                          </w:rPr>
                          <w:t>ρ = .000</w:t>
                        </w:r>
                      </w:p>
                    </w:txbxContent>
                  </v:textbox>
                </v:shape>
                <v:shape id="Straight Arrow Connector 15" o:spid="_x0000_s1039" type="#_x0000_t32" style="position:absolute;left:25908;top:9810;width:0;height:116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" strokecolor="black [3040]">
                  <v:stroke endarrow="block"/>
                </v:shape>
                <v:shape id="Text Box 20" o:spid="_x0000_s1040" type="#_x0000_t202" style="position:absolute;left:8858;top:9906;width:6477;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571D109" w14:textId="5F7614C9" w:rsidR="00015432" w:rsidRPr="00015432" w:rsidRDefault="00015432" w:rsidP="00015432">
                        <w:pPr>
                          <w:spacing w:line="240" w:lineRule="auto"/>
                          <w:rPr>
                            <w:sz w:val="18"/>
                            <w:szCs w:val="18"/>
                            <w:lang w:val="en-US"/>
                          </w:rPr>
                        </w:pPr>
                        <w:r w:rsidRPr="00015432">
                          <w:rPr>
                            <w:rFonts w:cs="Times New Roman"/>
                            <w:sz w:val="18"/>
                            <w:szCs w:val="18"/>
                            <w:lang w:val="en-US"/>
                          </w:rPr>
                          <w:t>β</w:t>
                        </w:r>
                        <w:r w:rsidRPr="00015432">
                          <w:rPr>
                            <w:sz w:val="18"/>
                            <w:szCs w:val="18"/>
                            <w:lang w:val="en-US"/>
                          </w:rPr>
                          <w:t xml:space="preserve"> = .</w:t>
                        </w:r>
                        <w:r>
                          <w:rPr>
                            <w:sz w:val="18"/>
                            <w:szCs w:val="18"/>
                            <w:lang w:val="en-US"/>
                          </w:rPr>
                          <w:t>236</w:t>
                        </w:r>
                      </w:p>
                      <w:p w14:paraId="5A6D2EF2" w14:textId="6B2FA642" w:rsidR="00015432" w:rsidRPr="00015432" w:rsidRDefault="00015432" w:rsidP="00015432">
                        <w:pPr>
                          <w:spacing w:line="240" w:lineRule="auto"/>
                          <w:rPr>
                            <w:sz w:val="18"/>
                            <w:szCs w:val="18"/>
                          </w:rPr>
                        </w:pPr>
                        <w:r w:rsidRPr="00015432">
                          <w:rPr>
                            <w:noProof/>
                            <w:sz w:val="18"/>
                            <w:szCs w:val="18"/>
                            <w:lang w:val="en-US"/>
                          </w:rPr>
                          <w:t>ρ = .00</w:t>
                        </w:r>
                        <w:r>
                          <w:rPr>
                            <w:noProof/>
                            <w:sz w:val="18"/>
                            <w:szCs w:val="18"/>
                            <w:lang w:val="en-US"/>
                          </w:rPr>
                          <w:t>7</w:t>
                        </w:r>
                      </w:p>
                    </w:txbxContent>
                  </v:textbox>
                </v:shape>
                <v:shape id="Text Box 21" o:spid="_x0000_s1041" type="#_x0000_t202" style="position:absolute;left:9048;top:17907;width:6477;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1E0A2598" w14:textId="15A22B18" w:rsidR="00015432" w:rsidRPr="00015432" w:rsidRDefault="00015432" w:rsidP="00015432">
                        <w:pPr>
                          <w:spacing w:line="240" w:lineRule="auto"/>
                          <w:rPr>
                            <w:sz w:val="18"/>
                            <w:szCs w:val="18"/>
                            <w:lang w:val="en-US"/>
                          </w:rPr>
                        </w:pPr>
                        <w:r w:rsidRPr="00015432">
                          <w:rPr>
                            <w:rFonts w:cs="Times New Roman"/>
                            <w:sz w:val="18"/>
                            <w:szCs w:val="18"/>
                            <w:lang w:val="en-US"/>
                          </w:rPr>
                          <w:t>β</w:t>
                        </w:r>
                        <w:r w:rsidRPr="00015432">
                          <w:rPr>
                            <w:sz w:val="18"/>
                            <w:szCs w:val="18"/>
                            <w:lang w:val="en-US"/>
                          </w:rPr>
                          <w:t xml:space="preserve"> = .</w:t>
                        </w:r>
                        <w:r>
                          <w:rPr>
                            <w:sz w:val="18"/>
                            <w:szCs w:val="18"/>
                            <w:lang w:val="en-US"/>
                          </w:rPr>
                          <w:t>040</w:t>
                        </w:r>
                      </w:p>
                      <w:p w14:paraId="0650F630" w14:textId="2EB590C9" w:rsidR="00015432" w:rsidRPr="00015432" w:rsidRDefault="00015432" w:rsidP="00015432">
                        <w:pPr>
                          <w:spacing w:line="240" w:lineRule="auto"/>
                          <w:rPr>
                            <w:sz w:val="18"/>
                            <w:szCs w:val="18"/>
                          </w:rPr>
                        </w:pPr>
                        <w:r w:rsidRPr="00015432">
                          <w:rPr>
                            <w:noProof/>
                            <w:sz w:val="18"/>
                            <w:szCs w:val="18"/>
                            <w:lang w:val="en-US"/>
                          </w:rPr>
                          <w:t>ρ = .</w:t>
                        </w:r>
                        <w:r w:rsidR="00BE2D09">
                          <w:rPr>
                            <w:noProof/>
                            <w:sz w:val="18"/>
                            <w:szCs w:val="18"/>
                            <w:lang w:val="en-US"/>
                          </w:rPr>
                          <w:t>499</w:t>
                        </w:r>
                      </w:p>
                    </w:txbxContent>
                  </v:textbox>
                </v:shape>
                <v:shape id="Text Box 25" o:spid="_x0000_s1042" type="#_x0000_t202" style="position:absolute;left:20097;top:1143;width:647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2A4D0745" w14:textId="4CFFAD20" w:rsidR="00B67A1B" w:rsidRPr="00B67A1B" w:rsidRDefault="00B67A1B" w:rsidP="00B67A1B">
                        <w:pPr>
                          <w:spacing w:line="240" w:lineRule="auto"/>
                          <w:rPr>
                            <w:sz w:val="16"/>
                            <w:szCs w:val="16"/>
                            <w:lang w:val="en-US"/>
                          </w:rPr>
                        </w:pPr>
                        <w:r w:rsidRPr="00B67A1B">
                          <w:rPr>
                            <w:rFonts w:cs="Times New Roman"/>
                            <w:sz w:val="16"/>
                            <w:szCs w:val="16"/>
                            <w:lang w:val="en-US"/>
                          </w:rPr>
                          <w:t>β</w:t>
                        </w:r>
                        <w:r w:rsidRPr="00B67A1B">
                          <w:rPr>
                            <w:sz w:val="16"/>
                            <w:szCs w:val="16"/>
                            <w:lang w:val="en-US"/>
                          </w:rPr>
                          <w:t xml:space="preserve"> =.</w:t>
                        </w:r>
                        <w:r w:rsidR="00A95180">
                          <w:rPr>
                            <w:sz w:val="16"/>
                            <w:szCs w:val="16"/>
                            <w:lang w:val="en-US"/>
                          </w:rPr>
                          <w:t>0</w:t>
                        </w:r>
                        <w:r w:rsidR="00824F94">
                          <w:rPr>
                            <w:sz w:val="16"/>
                            <w:szCs w:val="16"/>
                            <w:lang w:val="en-US"/>
                          </w:rPr>
                          <w:t>2</w:t>
                        </w:r>
                        <w:r w:rsidR="00A95180">
                          <w:rPr>
                            <w:sz w:val="16"/>
                            <w:szCs w:val="16"/>
                            <w:lang w:val="en-US"/>
                          </w:rPr>
                          <w:t>6</w:t>
                        </w:r>
                      </w:p>
                      <w:p w14:paraId="681C99A9" w14:textId="1A3DFA81" w:rsidR="00B67A1B" w:rsidRPr="00B67A1B" w:rsidRDefault="00B67A1B" w:rsidP="00B67A1B">
                        <w:pPr>
                          <w:spacing w:line="240" w:lineRule="auto"/>
                          <w:rPr>
                            <w:sz w:val="16"/>
                            <w:szCs w:val="16"/>
                          </w:rPr>
                        </w:pPr>
                        <w:r w:rsidRPr="00B67A1B">
                          <w:rPr>
                            <w:noProof/>
                            <w:sz w:val="16"/>
                            <w:szCs w:val="16"/>
                            <w:lang w:val="en-US"/>
                          </w:rPr>
                          <w:t>ρ = .</w:t>
                        </w:r>
                        <w:r w:rsidR="00A95180">
                          <w:rPr>
                            <w:noProof/>
                            <w:sz w:val="16"/>
                            <w:szCs w:val="16"/>
                            <w:lang w:val="en-US"/>
                          </w:rPr>
                          <w:t>516</w:t>
                        </w:r>
                      </w:p>
                    </w:txbxContent>
                  </v:textbox>
                </v:shape>
                <v:shape id="Text Box 27" o:spid="_x0000_s1043" type="#_x0000_t202" style="position:absolute;left:20002;top:10287;width:5429;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1DC93F89" w14:textId="28FA6949" w:rsidR="00B67A1B" w:rsidRPr="00B67A1B" w:rsidRDefault="00B67A1B" w:rsidP="00B67A1B">
                        <w:pPr>
                          <w:spacing w:line="240" w:lineRule="auto"/>
                          <w:rPr>
                            <w:sz w:val="16"/>
                            <w:szCs w:val="16"/>
                            <w:lang w:val="en-US"/>
                          </w:rPr>
                        </w:pPr>
                        <w:r w:rsidRPr="00B67A1B">
                          <w:rPr>
                            <w:rFonts w:cs="Times New Roman"/>
                            <w:sz w:val="16"/>
                            <w:szCs w:val="16"/>
                            <w:lang w:val="en-US"/>
                          </w:rPr>
                          <w:t>β</w:t>
                        </w:r>
                        <w:r w:rsidRPr="00B67A1B">
                          <w:rPr>
                            <w:sz w:val="16"/>
                            <w:szCs w:val="16"/>
                            <w:lang w:val="en-US"/>
                          </w:rPr>
                          <w:t xml:space="preserve"> = .</w:t>
                        </w:r>
                        <w:r w:rsidR="00A95180">
                          <w:rPr>
                            <w:sz w:val="16"/>
                            <w:szCs w:val="16"/>
                            <w:lang w:val="en-US"/>
                          </w:rPr>
                          <w:t>0</w:t>
                        </w:r>
                        <w:r w:rsidR="00A76CEA">
                          <w:rPr>
                            <w:sz w:val="16"/>
                            <w:szCs w:val="16"/>
                            <w:lang w:val="en-US"/>
                          </w:rPr>
                          <w:t>2</w:t>
                        </w:r>
                        <w:r w:rsidR="00A95180">
                          <w:rPr>
                            <w:sz w:val="16"/>
                            <w:szCs w:val="16"/>
                            <w:lang w:val="en-US"/>
                          </w:rPr>
                          <w:t>8</w:t>
                        </w:r>
                      </w:p>
                      <w:p w14:paraId="4C97376C" w14:textId="24A446CE" w:rsidR="00B67A1B" w:rsidRPr="00B67A1B" w:rsidRDefault="00B67A1B" w:rsidP="00B67A1B">
                        <w:pPr>
                          <w:spacing w:line="240" w:lineRule="auto"/>
                          <w:rPr>
                            <w:sz w:val="16"/>
                            <w:szCs w:val="16"/>
                          </w:rPr>
                        </w:pPr>
                        <w:r w:rsidRPr="00B67A1B">
                          <w:rPr>
                            <w:noProof/>
                            <w:sz w:val="16"/>
                            <w:szCs w:val="16"/>
                            <w:lang w:val="en-US"/>
                          </w:rPr>
                          <w:t>ρ = .</w:t>
                        </w:r>
                        <w:r w:rsidR="00A95180">
                          <w:rPr>
                            <w:noProof/>
                            <w:sz w:val="16"/>
                            <w:szCs w:val="16"/>
                            <w:lang w:val="en-US"/>
                          </w:rPr>
                          <w:t>564</w:t>
                        </w:r>
                      </w:p>
                    </w:txbxContent>
                  </v:textbox>
                </v:shape>
                <v:shape id="Straight Arrow Connector 30" o:spid="_x0000_s1044" type="#_x0000_t32" style="position:absolute;left:40386;top:666;width:0;height:9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" strokecolor="black [3040]">
                  <v:stroke endarrow="block"/>
                </v:shape>
                <v:shape id="Text Box 28" o:spid="_x0000_s1045" type="#_x0000_t202" style="position:absolute;left:26193;top:18097;width:647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4B934780" w14:textId="2E6DE3F8" w:rsidR="00B67A1B" w:rsidRPr="00B67A1B" w:rsidRDefault="00B67A1B" w:rsidP="00B67A1B">
                        <w:pPr>
                          <w:spacing w:line="240" w:lineRule="auto"/>
                          <w:rPr>
                            <w:sz w:val="16"/>
                            <w:szCs w:val="16"/>
                            <w:lang w:val="en-US"/>
                          </w:rPr>
                        </w:pPr>
                        <w:r w:rsidRPr="00B67A1B">
                          <w:rPr>
                            <w:rFonts w:cs="Times New Roman"/>
                            <w:sz w:val="16"/>
                            <w:szCs w:val="16"/>
                            <w:lang w:val="en-US"/>
                          </w:rPr>
                          <w:t>β</w:t>
                        </w:r>
                        <w:r w:rsidRPr="00B67A1B">
                          <w:rPr>
                            <w:sz w:val="16"/>
                            <w:szCs w:val="16"/>
                            <w:lang w:val="en-US"/>
                          </w:rPr>
                          <w:t xml:space="preserve"> = .</w:t>
                        </w:r>
                        <w:r w:rsidR="00A95180">
                          <w:rPr>
                            <w:sz w:val="16"/>
                            <w:szCs w:val="16"/>
                            <w:lang w:val="en-US"/>
                          </w:rPr>
                          <w:t>006</w:t>
                        </w:r>
                      </w:p>
                      <w:p w14:paraId="6C2AE0C0" w14:textId="2F9B7781" w:rsidR="00B67A1B" w:rsidRPr="00B67A1B" w:rsidRDefault="00B67A1B" w:rsidP="00B67A1B">
                        <w:pPr>
                          <w:spacing w:line="240" w:lineRule="auto"/>
                          <w:rPr>
                            <w:sz w:val="16"/>
                            <w:szCs w:val="16"/>
                          </w:rPr>
                        </w:pPr>
                        <w:r w:rsidRPr="00B67A1B">
                          <w:rPr>
                            <w:noProof/>
                            <w:sz w:val="16"/>
                            <w:szCs w:val="16"/>
                            <w:lang w:val="en-US"/>
                          </w:rPr>
                          <w:t>ρ = .</w:t>
                        </w:r>
                        <w:r w:rsidR="00A95180">
                          <w:rPr>
                            <w:noProof/>
                            <w:sz w:val="16"/>
                            <w:szCs w:val="16"/>
                            <w:lang w:val="en-US"/>
                          </w:rPr>
                          <w:t>517</w:t>
                        </w:r>
                      </w:p>
                    </w:txbxContent>
                  </v:textbox>
                </v:shape>
              </v:group>
            </w:pict>
          </mc:Fallback>
        </mc:AlternateContent>
      </w:r>
    </w:p>
    <w:p w14:paraId="5DB04855" w14:textId="4C97EE17" w:rsidR="00ED3876" w:rsidRDefault="00ED3876" w:rsidP="004344AF">
      <w:pPr>
        <w:rPr>
          <w:lang w:val="en-US"/>
        </w:rPr>
      </w:pPr>
    </w:p>
    <w:p w14:paraId="05AA6ABA" w14:textId="42925A96" w:rsidR="00ED3876" w:rsidRDefault="00ED3876" w:rsidP="004344AF">
      <w:pPr>
        <w:rPr>
          <w:lang w:val="en-US"/>
        </w:rPr>
      </w:pPr>
    </w:p>
    <w:p w14:paraId="59F7A4A6" w14:textId="2D7CEA35" w:rsidR="00ED3876" w:rsidRDefault="00ED3876" w:rsidP="004344AF">
      <w:pPr>
        <w:rPr>
          <w:lang w:val="en-US"/>
        </w:rPr>
      </w:pPr>
    </w:p>
    <w:p w14:paraId="5492C69B" w14:textId="5B29CDEF" w:rsidR="00EB23BB" w:rsidRDefault="00EB23BB" w:rsidP="004344AF">
      <w:pPr>
        <w:rPr>
          <w:lang w:val="en-US"/>
        </w:rPr>
      </w:pPr>
    </w:p>
    <w:p w14:paraId="506E9385" w14:textId="45B7B5FB" w:rsidR="00EB23BB" w:rsidRDefault="00EB23BB" w:rsidP="004344AF">
      <w:pPr>
        <w:rPr>
          <w:lang w:val="en-US"/>
        </w:rPr>
      </w:pPr>
    </w:p>
    <w:p w14:paraId="486315F5" w14:textId="35565C38" w:rsidR="00EB23BB" w:rsidRDefault="00EB23BB" w:rsidP="004344AF">
      <w:pPr>
        <w:rPr>
          <w:lang w:val="en-US"/>
        </w:rPr>
      </w:pPr>
    </w:p>
    <w:p w14:paraId="7C59F9FA" w14:textId="199E12C2" w:rsidR="00EB23BB" w:rsidRDefault="00EB23BB" w:rsidP="004344AF">
      <w:pPr>
        <w:rPr>
          <w:lang w:val="en-US"/>
        </w:rPr>
      </w:pPr>
    </w:p>
    <w:p w14:paraId="503317C0" w14:textId="7CF61BF0" w:rsidR="00EB23BB" w:rsidRDefault="00EB23BB" w:rsidP="004344AF">
      <w:pPr>
        <w:rPr>
          <w:lang w:val="en-US"/>
        </w:rPr>
      </w:pPr>
    </w:p>
    <w:p w14:paraId="02A3459F" w14:textId="77777777" w:rsidR="00EB23BB" w:rsidRDefault="00EB23BB" w:rsidP="004344AF">
      <w:pPr>
        <w:rPr>
          <w:lang w:val="en-US"/>
        </w:rPr>
      </w:pPr>
    </w:p>
    <w:p w14:paraId="7F96F565" w14:textId="512747EF" w:rsidR="007D0E9D" w:rsidRDefault="007D0E9D" w:rsidP="007D0E9D">
      <w:pPr>
        <w:jc w:val="center"/>
        <w:rPr>
          <w:lang w:val="en-US"/>
        </w:rPr>
      </w:pPr>
      <w:r>
        <w:rPr>
          <w:lang w:val="en-US"/>
        </w:rPr>
        <w:t>Gambar 1. Hasil Estimasi dari pengujian model</w:t>
      </w:r>
    </w:p>
    <w:p w14:paraId="6AFF84CC" w14:textId="77777777" w:rsidR="00711E42" w:rsidRDefault="00711E42" w:rsidP="00711E42">
      <w:pPr>
        <w:rPr>
          <w:lang w:val="en-US"/>
        </w:rPr>
      </w:pPr>
    </w:p>
    <w:p w14:paraId="57F0833D" w14:textId="38C36C98" w:rsidR="004F1FE7" w:rsidRDefault="007149A0" w:rsidP="004344AF">
      <w:pPr>
        <w:rPr>
          <w:noProof/>
          <w:lang w:val="en-US"/>
        </w:rPr>
      </w:pPr>
      <w:r>
        <w:rPr>
          <w:noProof/>
          <w:lang w:val="en-US"/>
        </w:rPr>
        <w:t>Lebih lanjut tentang e</w:t>
      </w:r>
      <w:r w:rsidR="004F1FE7">
        <w:rPr>
          <w:noProof/>
          <w:lang w:val="en-US"/>
        </w:rPr>
        <w:t xml:space="preserve">fek </w:t>
      </w:r>
      <w:r>
        <w:rPr>
          <w:noProof/>
          <w:lang w:val="en-US"/>
        </w:rPr>
        <w:t>tidak langsung seper</w:t>
      </w:r>
      <w:r w:rsidR="00BF5FFF">
        <w:rPr>
          <w:noProof/>
          <w:lang w:val="en-US"/>
        </w:rPr>
        <w:t>t</w:t>
      </w:r>
      <w:r>
        <w:rPr>
          <w:noProof/>
          <w:lang w:val="en-US"/>
        </w:rPr>
        <w:t xml:space="preserve">i pada </w:t>
      </w:r>
      <w:r w:rsidR="004F1FE7">
        <w:rPr>
          <w:noProof/>
          <w:lang w:val="en-US"/>
        </w:rPr>
        <w:t xml:space="preserve">tabel 5 dan gambar 1 </w:t>
      </w:r>
      <w:r>
        <w:rPr>
          <w:noProof/>
          <w:lang w:val="en-US"/>
        </w:rPr>
        <w:t xml:space="preserve">yang </w:t>
      </w:r>
      <w:r w:rsidR="009A03B6">
        <w:rPr>
          <w:noProof/>
          <w:lang w:val="en-US"/>
        </w:rPr>
        <w:t xml:space="preserve">menunjukkan bahwa e-tax </w:t>
      </w:r>
      <w:r w:rsidR="001A225E">
        <w:rPr>
          <w:noProof/>
          <w:lang w:val="en-US"/>
        </w:rPr>
        <w:t xml:space="preserve">(ET) </w:t>
      </w:r>
      <w:r w:rsidR="009A03B6">
        <w:rPr>
          <w:noProof/>
          <w:lang w:val="en-US"/>
        </w:rPr>
        <w:t xml:space="preserve">memiliki efek </w:t>
      </w:r>
      <w:r w:rsidR="003B69BC">
        <w:rPr>
          <w:noProof/>
          <w:lang w:val="en-US"/>
        </w:rPr>
        <w:t xml:space="preserve">tidak signifikan </w:t>
      </w:r>
      <w:r w:rsidR="001A225E">
        <w:rPr>
          <w:noProof/>
          <w:lang w:val="en-US"/>
        </w:rPr>
        <w:t xml:space="preserve">terhadap </w:t>
      </w:r>
      <w:r w:rsidR="009A03B6">
        <w:rPr>
          <w:noProof/>
          <w:lang w:val="en-US"/>
        </w:rPr>
        <w:t>seluruh variabel konstruksi, seperti</w:t>
      </w:r>
      <w:r w:rsidR="001A225E">
        <w:rPr>
          <w:noProof/>
          <w:lang w:val="en-US"/>
        </w:rPr>
        <w:t>:</w:t>
      </w:r>
      <w:r w:rsidR="009A03B6">
        <w:rPr>
          <w:noProof/>
          <w:lang w:val="en-US"/>
        </w:rPr>
        <w:t xml:space="preserve"> </w:t>
      </w:r>
      <w:r w:rsidR="003B69BC">
        <w:rPr>
          <w:noProof/>
          <w:lang w:val="en-US"/>
        </w:rPr>
        <w:t xml:space="preserve">TS melalu ET ke TO </w:t>
      </w:r>
      <w:r w:rsidR="003B69BC" w:rsidRPr="00371D21">
        <w:rPr>
          <w:noProof/>
          <w:lang w:val="en-US"/>
        </w:rPr>
        <w:t>(</w:t>
      </w:r>
      <w:r w:rsidR="003B69BC">
        <w:rPr>
          <w:rFonts w:cs="Times New Roman"/>
          <w:noProof/>
          <w:lang w:val="en-US"/>
        </w:rPr>
        <w:t>β</w:t>
      </w:r>
      <w:r w:rsidR="003B69BC" w:rsidRPr="00371D21">
        <w:rPr>
          <w:noProof/>
          <w:lang w:val="en-US"/>
        </w:rPr>
        <w:t xml:space="preserve"> = </w:t>
      </w:r>
      <w:r w:rsidR="003B69BC">
        <w:rPr>
          <w:noProof/>
          <w:lang w:val="en-US"/>
        </w:rPr>
        <w:t>-</w:t>
      </w:r>
      <w:r w:rsidR="003B69BC" w:rsidRPr="00371D21">
        <w:rPr>
          <w:noProof/>
          <w:lang w:val="en-US"/>
        </w:rPr>
        <w:t>,</w:t>
      </w:r>
      <w:r w:rsidR="003B69BC">
        <w:rPr>
          <w:noProof/>
          <w:lang w:val="en-US"/>
        </w:rPr>
        <w:t>606</w:t>
      </w:r>
      <w:r w:rsidR="003B69BC" w:rsidRPr="00371D21">
        <w:rPr>
          <w:noProof/>
          <w:lang w:val="en-US"/>
        </w:rPr>
        <w:t xml:space="preserve">, t = </w:t>
      </w:r>
      <w:r w:rsidR="003B69BC">
        <w:rPr>
          <w:noProof/>
          <w:lang w:val="en-US"/>
        </w:rPr>
        <w:t>0</w:t>
      </w:r>
      <w:r w:rsidR="003B69BC" w:rsidRPr="00371D21">
        <w:rPr>
          <w:noProof/>
          <w:lang w:val="en-US"/>
        </w:rPr>
        <w:t>,</w:t>
      </w:r>
      <w:r w:rsidR="003B69BC">
        <w:rPr>
          <w:noProof/>
          <w:lang w:val="en-US"/>
        </w:rPr>
        <w:t>516</w:t>
      </w:r>
      <w:r w:rsidR="003B69BC" w:rsidRPr="00371D21">
        <w:rPr>
          <w:noProof/>
          <w:lang w:val="en-US"/>
        </w:rPr>
        <w:t xml:space="preserve">, </w:t>
      </w:r>
      <w:r w:rsidR="003B69BC" w:rsidRPr="005142D1">
        <w:rPr>
          <w:noProof/>
          <w:lang w:val="en-US"/>
        </w:rPr>
        <w:t>ρ</w:t>
      </w:r>
      <w:r w:rsidR="003B69BC" w:rsidRPr="00371D21">
        <w:rPr>
          <w:noProof/>
          <w:lang w:val="en-US"/>
        </w:rPr>
        <w:t xml:space="preserve"> &lt; 0,</w:t>
      </w:r>
      <w:r w:rsidR="003B69BC">
        <w:rPr>
          <w:noProof/>
          <w:lang w:val="en-US"/>
        </w:rPr>
        <w:t>606</w:t>
      </w:r>
      <w:r w:rsidR="003B69BC" w:rsidRPr="00371D21">
        <w:rPr>
          <w:noProof/>
          <w:lang w:val="en-US"/>
        </w:rPr>
        <w:t>)</w:t>
      </w:r>
      <w:r w:rsidR="003B69BC">
        <w:rPr>
          <w:noProof/>
          <w:lang w:val="en-US"/>
        </w:rPr>
        <w:t xml:space="preserve">, kemudian LS melalui ET ke TO </w:t>
      </w:r>
      <w:r w:rsidR="003B69BC" w:rsidRPr="00371D21">
        <w:rPr>
          <w:noProof/>
          <w:lang w:val="en-US"/>
        </w:rPr>
        <w:t>(</w:t>
      </w:r>
      <w:r w:rsidR="003B69BC">
        <w:rPr>
          <w:rFonts w:cs="Times New Roman"/>
          <w:noProof/>
          <w:lang w:val="en-US"/>
        </w:rPr>
        <w:t>β</w:t>
      </w:r>
      <w:r w:rsidR="003B69BC" w:rsidRPr="00371D21">
        <w:rPr>
          <w:noProof/>
          <w:lang w:val="en-US"/>
        </w:rPr>
        <w:t xml:space="preserve"> = 0,</w:t>
      </w:r>
      <w:r w:rsidR="00B6408F">
        <w:rPr>
          <w:noProof/>
          <w:lang w:val="en-US"/>
        </w:rPr>
        <w:t>008</w:t>
      </w:r>
      <w:r w:rsidR="003B69BC" w:rsidRPr="00371D21">
        <w:rPr>
          <w:noProof/>
          <w:lang w:val="en-US"/>
        </w:rPr>
        <w:t xml:space="preserve">, t = </w:t>
      </w:r>
      <w:r w:rsidR="00B6408F">
        <w:rPr>
          <w:noProof/>
          <w:lang w:val="en-US"/>
        </w:rPr>
        <w:t>0</w:t>
      </w:r>
      <w:r w:rsidR="003B69BC" w:rsidRPr="00371D21">
        <w:rPr>
          <w:noProof/>
          <w:lang w:val="en-US"/>
        </w:rPr>
        <w:t>,</w:t>
      </w:r>
      <w:r w:rsidR="00B6408F">
        <w:rPr>
          <w:noProof/>
          <w:lang w:val="en-US"/>
        </w:rPr>
        <w:t>578</w:t>
      </w:r>
      <w:r w:rsidR="003B69BC" w:rsidRPr="00371D21">
        <w:rPr>
          <w:noProof/>
          <w:lang w:val="en-US"/>
        </w:rPr>
        <w:t xml:space="preserve">, </w:t>
      </w:r>
      <w:r w:rsidR="003B69BC" w:rsidRPr="005142D1">
        <w:rPr>
          <w:noProof/>
          <w:lang w:val="en-US"/>
        </w:rPr>
        <w:t>ρ</w:t>
      </w:r>
      <w:r w:rsidR="003B69BC" w:rsidRPr="00371D21">
        <w:rPr>
          <w:noProof/>
          <w:lang w:val="en-US"/>
        </w:rPr>
        <w:t xml:space="preserve"> &lt; 0,</w:t>
      </w:r>
      <w:r w:rsidR="00B6408F">
        <w:rPr>
          <w:noProof/>
          <w:lang w:val="en-US"/>
        </w:rPr>
        <w:t>564</w:t>
      </w:r>
      <w:r w:rsidR="003B69BC" w:rsidRPr="00371D21">
        <w:rPr>
          <w:noProof/>
          <w:lang w:val="en-US"/>
        </w:rPr>
        <w:t>)</w:t>
      </w:r>
      <w:r w:rsidR="00B6408F">
        <w:rPr>
          <w:noProof/>
          <w:lang w:val="en-US"/>
        </w:rPr>
        <w:t xml:space="preserve"> dan PD melalui ET ke TO </w:t>
      </w:r>
      <w:r w:rsidR="00B6408F" w:rsidRPr="00371D21">
        <w:rPr>
          <w:noProof/>
          <w:lang w:val="en-US"/>
        </w:rPr>
        <w:t>(</w:t>
      </w:r>
      <w:r w:rsidR="00B6408F">
        <w:rPr>
          <w:rFonts w:cs="Times New Roman"/>
          <w:noProof/>
          <w:lang w:val="en-US"/>
        </w:rPr>
        <w:t>β</w:t>
      </w:r>
      <w:r w:rsidR="00B6408F" w:rsidRPr="00371D21">
        <w:rPr>
          <w:noProof/>
          <w:lang w:val="en-US"/>
        </w:rPr>
        <w:t xml:space="preserve"> = 0,</w:t>
      </w:r>
      <w:r w:rsidR="00B6408F">
        <w:rPr>
          <w:noProof/>
          <w:lang w:val="en-US"/>
        </w:rPr>
        <w:t>006</w:t>
      </w:r>
      <w:r w:rsidR="00B6408F" w:rsidRPr="00371D21">
        <w:rPr>
          <w:noProof/>
          <w:lang w:val="en-US"/>
        </w:rPr>
        <w:t xml:space="preserve">, t = </w:t>
      </w:r>
      <w:r w:rsidR="00B6408F">
        <w:rPr>
          <w:noProof/>
          <w:lang w:val="en-US"/>
        </w:rPr>
        <w:t>0</w:t>
      </w:r>
      <w:r w:rsidR="00B6408F" w:rsidRPr="00371D21">
        <w:rPr>
          <w:noProof/>
          <w:lang w:val="en-US"/>
        </w:rPr>
        <w:t>,</w:t>
      </w:r>
      <w:r w:rsidR="00B6408F">
        <w:rPr>
          <w:noProof/>
          <w:lang w:val="en-US"/>
        </w:rPr>
        <w:t>684</w:t>
      </w:r>
      <w:r w:rsidR="00B6408F" w:rsidRPr="00371D21">
        <w:rPr>
          <w:noProof/>
          <w:lang w:val="en-US"/>
        </w:rPr>
        <w:t xml:space="preserve">, </w:t>
      </w:r>
      <w:r w:rsidR="00B6408F" w:rsidRPr="005142D1">
        <w:rPr>
          <w:noProof/>
          <w:lang w:val="en-US"/>
        </w:rPr>
        <w:t>ρ</w:t>
      </w:r>
      <w:r w:rsidR="00B6408F" w:rsidRPr="00371D21">
        <w:rPr>
          <w:noProof/>
          <w:lang w:val="en-US"/>
        </w:rPr>
        <w:t xml:space="preserve"> &lt; 0,</w:t>
      </w:r>
      <w:r w:rsidR="00B6408F">
        <w:rPr>
          <w:noProof/>
          <w:lang w:val="en-US"/>
        </w:rPr>
        <w:t>517</w:t>
      </w:r>
      <w:r w:rsidR="00B6408F" w:rsidRPr="00371D21">
        <w:rPr>
          <w:noProof/>
          <w:lang w:val="en-US"/>
        </w:rPr>
        <w:t>)</w:t>
      </w:r>
      <w:r w:rsidR="006B3547">
        <w:rPr>
          <w:noProof/>
          <w:lang w:val="en-US"/>
        </w:rPr>
        <w:t xml:space="preserve">. Akhirnya tabel 6 menunjukkan seluruh </w:t>
      </w:r>
      <w:r w:rsidR="009A5AED">
        <w:rPr>
          <w:noProof/>
          <w:lang w:val="en-US"/>
        </w:rPr>
        <w:t xml:space="preserve">hasil uji hipotesis, terdapat dua hubungan yang mendukung hipotesis dan empat lainnya </w:t>
      </w:r>
      <w:r w:rsidR="00EC7C7A">
        <w:rPr>
          <w:noProof/>
          <w:lang w:val="en-US"/>
        </w:rPr>
        <w:t>memiliki nilai yang berbeda.</w:t>
      </w:r>
    </w:p>
    <w:p w14:paraId="66A970EB" w14:textId="1A27F93A" w:rsidR="00CE0D75" w:rsidRDefault="00CE0D75" w:rsidP="004344AF">
      <w:pPr>
        <w:rPr>
          <w:lang w:val="en-US"/>
        </w:rPr>
      </w:pPr>
    </w:p>
    <w:tbl>
      <w:tblPr>
        <w:tblStyle w:val="TableGrid"/>
        <w:tblW w:w="0" w:type="auto"/>
        <w:jc w:val="center"/>
        <w:tblLook w:val="04A0" w:firstRow="1" w:lastRow="0" w:firstColumn="1" w:lastColumn="0" w:noHBand="0" w:noVBand="1"/>
      </w:tblPr>
      <w:tblGrid>
        <w:gridCol w:w="1164"/>
        <w:gridCol w:w="1123"/>
        <w:gridCol w:w="1080"/>
        <w:gridCol w:w="1618"/>
        <w:gridCol w:w="1216"/>
        <w:gridCol w:w="793"/>
        <w:gridCol w:w="1446"/>
      </w:tblGrid>
      <w:tr w:rsidR="006B2486" w14:paraId="5DE48CD8" w14:textId="77777777" w:rsidTr="00E66991">
        <w:trPr>
          <w:jc w:val="center"/>
        </w:trPr>
        <w:tc>
          <w:tcPr>
            <w:tcW w:w="6201" w:type="dxa"/>
            <w:gridSpan w:val="5"/>
            <w:tcBorders>
              <w:bottom w:val="single" w:sz="4" w:space="0" w:color="auto"/>
            </w:tcBorders>
            <w:shd w:val="solid" w:color="auto" w:fill="auto"/>
          </w:tcPr>
          <w:p w14:paraId="76356F61" w14:textId="4CF18FBA" w:rsidR="006B2486" w:rsidRDefault="006B2486" w:rsidP="00E66991">
            <w:pPr>
              <w:pStyle w:val="Style10ptLeftLinespacingsingle"/>
            </w:pPr>
            <w:r w:rsidRPr="001D57DF">
              <w:rPr>
                <w:color w:val="FFFFFF" w:themeColor="background1"/>
              </w:rPr>
              <w:t xml:space="preserve">Table </w:t>
            </w:r>
            <w:r w:rsidR="00371D21">
              <w:rPr>
                <w:color w:val="FFFFFF" w:themeColor="background1"/>
              </w:rPr>
              <w:t>4</w:t>
            </w:r>
            <w:r w:rsidRPr="001D57DF">
              <w:rPr>
                <w:color w:val="FFFFFF" w:themeColor="background1"/>
              </w:rPr>
              <w:t>. Path coefficients</w:t>
            </w:r>
            <w:r>
              <w:rPr>
                <w:color w:val="FFFFFF" w:themeColor="background1"/>
              </w:rPr>
              <w:t xml:space="preserve">, </w:t>
            </w:r>
            <w:r w:rsidRPr="001D57DF">
              <w:rPr>
                <w:color w:val="FFFFFF" w:themeColor="background1"/>
              </w:rPr>
              <w:t>p-values</w:t>
            </w:r>
            <w:r>
              <w:rPr>
                <w:color w:val="FFFFFF" w:themeColor="background1"/>
              </w:rPr>
              <w:t xml:space="preserve"> &amp; pengujian hipotesisi</w:t>
            </w:r>
          </w:p>
        </w:tc>
        <w:tc>
          <w:tcPr>
            <w:tcW w:w="793" w:type="dxa"/>
            <w:tcBorders>
              <w:bottom w:val="single" w:sz="4" w:space="0" w:color="auto"/>
            </w:tcBorders>
            <w:shd w:val="solid" w:color="auto" w:fill="auto"/>
          </w:tcPr>
          <w:p w14:paraId="7AFECD27" w14:textId="77777777" w:rsidR="006B2486" w:rsidRPr="001D57DF" w:rsidRDefault="006B2486" w:rsidP="00E66991">
            <w:pPr>
              <w:pStyle w:val="Style10ptLeftLinespacingsingle"/>
              <w:rPr>
                <w:color w:val="FFFFFF" w:themeColor="background1"/>
              </w:rPr>
            </w:pPr>
          </w:p>
        </w:tc>
        <w:tc>
          <w:tcPr>
            <w:tcW w:w="1446" w:type="dxa"/>
            <w:tcBorders>
              <w:bottom w:val="single" w:sz="4" w:space="0" w:color="auto"/>
            </w:tcBorders>
            <w:shd w:val="solid" w:color="auto" w:fill="auto"/>
          </w:tcPr>
          <w:p w14:paraId="1C11472F" w14:textId="77777777" w:rsidR="006B2486" w:rsidRPr="001D57DF" w:rsidRDefault="006B2486" w:rsidP="00E66991">
            <w:pPr>
              <w:pStyle w:val="Style10ptLeftLinespacingsingle"/>
              <w:rPr>
                <w:color w:val="FFFFFF" w:themeColor="background1"/>
              </w:rPr>
            </w:pPr>
          </w:p>
        </w:tc>
      </w:tr>
      <w:tr w:rsidR="006B2486" w14:paraId="63D0BD34" w14:textId="77777777" w:rsidTr="00E66991">
        <w:trPr>
          <w:jc w:val="center"/>
        </w:trPr>
        <w:tc>
          <w:tcPr>
            <w:tcW w:w="1164" w:type="dxa"/>
            <w:tcBorders>
              <w:left w:val="nil"/>
              <w:bottom w:val="single" w:sz="4" w:space="0" w:color="auto"/>
              <w:right w:val="nil"/>
            </w:tcBorders>
          </w:tcPr>
          <w:p w14:paraId="23FC3235" w14:textId="77777777" w:rsidR="006B2486" w:rsidRDefault="006B2486" w:rsidP="00E66991">
            <w:pPr>
              <w:pStyle w:val="Style10ptLeftLinespacingsingle"/>
            </w:pPr>
            <w:r w:rsidRPr="003E488D">
              <w:t>Hypothesis</w:t>
            </w:r>
          </w:p>
        </w:tc>
        <w:tc>
          <w:tcPr>
            <w:tcW w:w="1123" w:type="dxa"/>
            <w:tcBorders>
              <w:left w:val="nil"/>
              <w:bottom w:val="single" w:sz="4" w:space="0" w:color="auto"/>
              <w:right w:val="nil"/>
            </w:tcBorders>
          </w:tcPr>
          <w:p w14:paraId="1D1ED8C6" w14:textId="77777777" w:rsidR="006B2486" w:rsidRDefault="006B2486" w:rsidP="00E66991">
            <w:pPr>
              <w:pStyle w:val="Style10ptLeftLinespacingsingle"/>
            </w:pPr>
            <w:r>
              <w:t>Path From</w:t>
            </w:r>
          </w:p>
        </w:tc>
        <w:tc>
          <w:tcPr>
            <w:tcW w:w="1080" w:type="dxa"/>
            <w:tcBorders>
              <w:left w:val="nil"/>
              <w:bottom w:val="single" w:sz="4" w:space="0" w:color="auto"/>
              <w:right w:val="nil"/>
            </w:tcBorders>
          </w:tcPr>
          <w:p w14:paraId="436EDC47" w14:textId="77777777" w:rsidR="006B2486" w:rsidRDefault="006B2486" w:rsidP="00E66991">
            <w:pPr>
              <w:pStyle w:val="Style10ptLeftLinespacingsingle"/>
            </w:pPr>
            <w:r>
              <w:t>Path To</w:t>
            </w:r>
          </w:p>
        </w:tc>
        <w:tc>
          <w:tcPr>
            <w:tcW w:w="1618" w:type="dxa"/>
            <w:tcBorders>
              <w:left w:val="nil"/>
              <w:bottom w:val="single" w:sz="4" w:space="0" w:color="auto"/>
              <w:right w:val="nil"/>
            </w:tcBorders>
          </w:tcPr>
          <w:p w14:paraId="0F055A0D" w14:textId="77777777" w:rsidR="006B2486" w:rsidRDefault="006B2486" w:rsidP="00E66991">
            <w:pPr>
              <w:pStyle w:val="Style10ptLeftLinespacingsingle"/>
            </w:pPr>
            <w:r>
              <w:t>Path Coefficient</w:t>
            </w:r>
          </w:p>
        </w:tc>
        <w:tc>
          <w:tcPr>
            <w:tcW w:w="1216" w:type="dxa"/>
            <w:tcBorders>
              <w:left w:val="nil"/>
              <w:bottom w:val="single" w:sz="4" w:space="0" w:color="auto"/>
              <w:right w:val="nil"/>
            </w:tcBorders>
          </w:tcPr>
          <w:p w14:paraId="5B5C586C" w14:textId="77777777" w:rsidR="006B2486" w:rsidRDefault="006B2486" w:rsidP="00E66991">
            <w:pPr>
              <w:pStyle w:val="Style10ptLeftLinespacingsingle"/>
            </w:pPr>
            <w:r>
              <w:t>Significance</w:t>
            </w:r>
          </w:p>
        </w:tc>
        <w:tc>
          <w:tcPr>
            <w:tcW w:w="793" w:type="dxa"/>
            <w:tcBorders>
              <w:left w:val="nil"/>
              <w:bottom w:val="single" w:sz="4" w:space="0" w:color="auto"/>
              <w:right w:val="nil"/>
            </w:tcBorders>
          </w:tcPr>
          <w:p w14:paraId="00B90DD1" w14:textId="77777777" w:rsidR="006B2486" w:rsidRDefault="006B2486" w:rsidP="00E66991">
            <w:pPr>
              <w:pStyle w:val="Style10ptLeftLinespacingsingle"/>
            </w:pPr>
            <w:r>
              <w:t>t-value</w:t>
            </w:r>
          </w:p>
        </w:tc>
        <w:tc>
          <w:tcPr>
            <w:tcW w:w="1446" w:type="dxa"/>
            <w:tcBorders>
              <w:left w:val="nil"/>
              <w:bottom w:val="single" w:sz="4" w:space="0" w:color="auto"/>
              <w:right w:val="nil"/>
            </w:tcBorders>
          </w:tcPr>
          <w:p w14:paraId="5653B196" w14:textId="77777777" w:rsidR="006B2486" w:rsidRDefault="006B2486" w:rsidP="00E66991">
            <w:pPr>
              <w:pStyle w:val="Style10ptLeftLinespacingsingle"/>
            </w:pPr>
            <w:r>
              <w:t>Hypothesis test</w:t>
            </w:r>
          </w:p>
        </w:tc>
      </w:tr>
      <w:tr w:rsidR="006B2486" w14:paraId="47602140" w14:textId="77777777" w:rsidTr="00E66991">
        <w:trPr>
          <w:jc w:val="center"/>
        </w:trPr>
        <w:tc>
          <w:tcPr>
            <w:tcW w:w="1164" w:type="dxa"/>
            <w:tcBorders>
              <w:top w:val="single" w:sz="4" w:space="0" w:color="auto"/>
              <w:left w:val="nil"/>
              <w:bottom w:val="nil"/>
              <w:right w:val="nil"/>
            </w:tcBorders>
          </w:tcPr>
          <w:p w14:paraId="59F766E7" w14:textId="77777777" w:rsidR="006B2486" w:rsidRDefault="006B2486" w:rsidP="00E66991">
            <w:pPr>
              <w:pStyle w:val="Style10ptLeftLinespacingsingle"/>
            </w:pPr>
            <w:r>
              <w:t>H</w:t>
            </w:r>
            <w:r w:rsidRPr="001D57DF">
              <w:rPr>
                <w:vertAlign w:val="subscript"/>
              </w:rPr>
              <w:t>1</w:t>
            </w:r>
          </w:p>
        </w:tc>
        <w:tc>
          <w:tcPr>
            <w:tcW w:w="1123" w:type="dxa"/>
            <w:tcBorders>
              <w:top w:val="single" w:sz="4" w:space="0" w:color="auto"/>
              <w:left w:val="nil"/>
              <w:bottom w:val="nil"/>
              <w:right w:val="nil"/>
            </w:tcBorders>
          </w:tcPr>
          <w:p w14:paraId="0333A528" w14:textId="77777777" w:rsidR="006B2486" w:rsidRDefault="006B2486" w:rsidP="00E66991">
            <w:pPr>
              <w:pStyle w:val="Style10ptLeftLinespacingsingle"/>
            </w:pPr>
            <w:r>
              <w:t>TS</w:t>
            </w:r>
          </w:p>
        </w:tc>
        <w:tc>
          <w:tcPr>
            <w:tcW w:w="1080" w:type="dxa"/>
            <w:tcBorders>
              <w:top w:val="single" w:sz="4" w:space="0" w:color="auto"/>
              <w:left w:val="nil"/>
              <w:bottom w:val="nil"/>
              <w:right w:val="nil"/>
            </w:tcBorders>
          </w:tcPr>
          <w:p w14:paraId="6F539EF5" w14:textId="77777777" w:rsidR="006B2486" w:rsidRDefault="006B2486" w:rsidP="00E66991">
            <w:pPr>
              <w:pStyle w:val="Style10ptLeftLinespacingsingle"/>
            </w:pPr>
            <w:r>
              <w:t>TO</w:t>
            </w:r>
          </w:p>
        </w:tc>
        <w:tc>
          <w:tcPr>
            <w:tcW w:w="1618" w:type="dxa"/>
            <w:tcBorders>
              <w:top w:val="single" w:sz="4" w:space="0" w:color="auto"/>
              <w:left w:val="nil"/>
              <w:bottom w:val="nil"/>
              <w:right w:val="nil"/>
            </w:tcBorders>
          </w:tcPr>
          <w:p w14:paraId="76061C62" w14:textId="747E7B53" w:rsidR="006B2486" w:rsidRDefault="006B2486" w:rsidP="00E66991">
            <w:pPr>
              <w:pStyle w:val="Style10ptLeftLinespacingsingle"/>
            </w:pPr>
            <w:r>
              <w:t>.</w:t>
            </w:r>
            <w:r w:rsidR="0088363C">
              <w:t>294</w:t>
            </w:r>
          </w:p>
        </w:tc>
        <w:tc>
          <w:tcPr>
            <w:tcW w:w="1216" w:type="dxa"/>
            <w:tcBorders>
              <w:top w:val="single" w:sz="4" w:space="0" w:color="auto"/>
              <w:left w:val="nil"/>
              <w:bottom w:val="nil"/>
              <w:right w:val="nil"/>
            </w:tcBorders>
          </w:tcPr>
          <w:p w14:paraId="637BC46D" w14:textId="77777777" w:rsidR="006B2486" w:rsidRDefault="006B2486" w:rsidP="00E66991">
            <w:pPr>
              <w:pStyle w:val="Style10ptLeftLinespacingsingle"/>
            </w:pPr>
            <w:r w:rsidRPr="001D57DF">
              <w:t>.000</w:t>
            </w:r>
          </w:p>
        </w:tc>
        <w:tc>
          <w:tcPr>
            <w:tcW w:w="793" w:type="dxa"/>
            <w:tcBorders>
              <w:top w:val="single" w:sz="4" w:space="0" w:color="auto"/>
              <w:left w:val="nil"/>
              <w:bottom w:val="nil"/>
              <w:right w:val="nil"/>
            </w:tcBorders>
          </w:tcPr>
          <w:p w14:paraId="1E2B67EF" w14:textId="6624D482" w:rsidR="006B2486" w:rsidRPr="001D57DF" w:rsidRDefault="0088363C" w:rsidP="00E66991">
            <w:pPr>
              <w:pStyle w:val="Style10ptLeftLinespacingsingle"/>
            </w:pPr>
            <w:r>
              <w:t>4</w:t>
            </w:r>
            <w:r w:rsidR="006B2486" w:rsidRPr="00F36A2A">
              <w:t>.</w:t>
            </w:r>
            <w:r>
              <w:t>706</w:t>
            </w:r>
          </w:p>
        </w:tc>
        <w:tc>
          <w:tcPr>
            <w:tcW w:w="1446" w:type="dxa"/>
            <w:tcBorders>
              <w:top w:val="single" w:sz="4" w:space="0" w:color="auto"/>
              <w:left w:val="nil"/>
              <w:bottom w:val="nil"/>
              <w:right w:val="nil"/>
            </w:tcBorders>
          </w:tcPr>
          <w:p w14:paraId="023F099B" w14:textId="77777777" w:rsidR="006B2486" w:rsidRDefault="006B2486" w:rsidP="00E66991">
            <w:pPr>
              <w:pStyle w:val="Style10ptLeftLinespacingsingle"/>
            </w:pPr>
            <w:r>
              <w:t>Supported</w:t>
            </w:r>
          </w:p>
        </w:tc>
      </w:tr>
      <w:tr w:rsidR="006B2486" w14:paraId="50436F4D" w14:textId="77777777" w:rsidTr="00481CA2">
        <w:trPr>
          <w:jc w:val="center"/>
        </w:trPr>
        <w:tc>
          <w:tcPr>
            <w:tcW w:w="1164" w:type="dxa"/>
            <w:tcBorders>
              <w:top w:val="nil"/>
              <w:left w:val="nil"/>
              <w:bottom w:val="nil"/>
              <w:right w:val="nil"/>
            </w:tcBorders>
          </w:tcPr>
          <w:p w14:paraId="4DE878F5" w14:textId="77777777" w:rsidR="006B2486" w:rsidRDefault="006B2486" w:rsidP="00E66991">
            <w:pPr>
              <w:pStyle w:val="Style10ptLeftLinespacingsingle"/>
            </w:pPr>
            <w:r>
              <w:t>H</w:t>
            </w:r>
            <w:r w:rsidRPr="001D57DF">
              <w:rPr>
                <w:vertAlign w:val="subscript"/>
              </w:rPr>
              <w:t>2</w:t>
            </w:r>
          </w:p>
        </w:tc>
        <w:tc>
          <w:tcPr>
            <w:tcW w:w="1123" w:type="dxa"/>
            <w:tcBorders>
              <w:top w:val="nil"/>
              <w:left w:val="nil"/>
              <w:bottom w:val="nil"/>
              <w:right w:val="nil"/>
            </w:tcBorders>
          </w:tcPr>
          <w:p w14:paraId="6A751E47" w14:textId="77777777" w:rsidR="006B2486" w:rsidRDefault="006B2486" w:rsidP="00E66991">
            <w:pPr>
              <w:pStyle w:val="Style10ptLeftLinespacingsingle"/>
            </w:pPr>
            <w:r>
              <w:t>LS</w:t>
            </w:r>
          </w:p>
        </w:tc>
        <w:tc>
          <w:tcPr>
            <w:tcW w:w="1080" w:type="dxa"/>
            <w:tcBorders>
              <w:top w:val="nil"/>
              <w:left w:val="nil"/>
              <w:bottom w:val="nil"/>
              <w:right w:val="nil"/>
            </w:tcBorders>
          </w:tcPr>
          <w:p w14:paraId="2A176A61" w14:textId="77777777" w:rsidR="006B2486" w:rsidRDefault="006B2486" w:rsidP="00E66991">
            <w:pPr>
              <w:pStyle w:val="Style10ptLeftLinespacingsingle"/>
            </w:pPr>
            <w:r>
              <w:t>TO</w:t>
            </w:r>
          </w:p>
        </w:tc>
        <w:tc>
          <w:tcPr>
            <w:tcW w:w="1618" w:type="dxa"/>
            <w:tcBorders>
              <w:top w:val="nil"/>
              <w:left w:val="nil"/>
              <w:bottom w:val="nil"/>
              <w:right w:val="nil"/>
            </w:tcBorders>
          </w:tcPr>
          <w:p w14:paraId="5F58C3E2" w14:textId="0ABA9743" w:rsidR="006B2486" w:rsidRDefault="006B2486" w:rsidP="00E66991">
            <w:pPr>
              <w:pStyle w:val="Style10ptLeftLinespacingsingle"/>
            </w:pPr>
            <w:r w:rsidRPr="001D57DF">
              <w:t>.</w:t>
            </w:r>
            <w:r>
              <w:t>2</w:t>
            </w:r>
            <w:r w:rsidR="0088363C">
              <w:t>07</w:t>
            </w:r>
          </w:p>
        </w:tc>
        <w:tc>
          <w:tcPr>
            <w:tcW w:w="1216" w:type="dxa"/>
            <w:tcBorders>
              <w:top w:val="nil"/>
              <w:left w:val="nil"/>
              <w:bottom w:val="nil"/>
              <w:right w:val="nil"/>
            </w:tcBorders>
          </w:tcPr>
          <w:p w14:paraId="6B5F9B3A" w14:textId="2CB9F618" w:rsidR="006B2486" w:rsidRDefault="006B2486" w:rsidP="00E66991">
            <w:pPr>
              <w:pStyle w:val="Style10ptLeftLinespacingsingle"/>
            </w:pPr>
            <w:r w:rsidRPr="005933FB">
              <w:t>.00</w:t>
            </w:r>
            <w:r w:rsidR="0088363C">
              <w:t>2</w:t>
            </w:r>
          </w:p>
        </w:tc>
        <w:tc>
          <w:tcPr>
            <w:tcW w:w="793" w:type="dxa"/>
            <w:tcBorders>
              <w:top w:val="nil"/>
              <w:left w:val="nil"/>
              <w:bottom w:val="nil"/>
              <w:right w:val="nil"/>
            </w:tcBorders>
          </w:tcPr>
          <w:p w14:paraId="4DD2F003" w14:textId="34FCB9A8" w:rsidR="006B2486" w:rsidRPr="005933FB" w:rsidRDefault="0088363C" w:rsidP="00E66991">
            <w:pPr>
              <w:pStyle w:val="Style10ptLeftLinespacingsingle"/>
            </w:pPr>
            <w:r>
              <w:t>3</w:t>
            </w:r>
            <w:r w:rsidR="006B2486" w:rsidRPr="00F36A2A">
              <w:t>.</w:t>
            </w:r>
            <w:r>
              <w:t>138</w:t>
            </w:r>
          </w:p>
        </w:tc>
        <w:tc>
          <w:tcPr>
            <w:tcW w:w="1446" w:type="dxa"/>
            <w:tcBorders>
              <w:top w:val="nil"/>
              <w:left w:val="nil"/>
              <w:bottom w:val="nil"/>
              <w:right w:val="nil"/>
            </w:tcBorders>
          </w:tcPr>
          <w:p w14:paraId="304E8B51" w14:textId="1003F536" w:rsidR="006B2486" w:rsidRDefault="006B2486" w:rsidP="00E66991">
            <w:pPr>
              <w:pStyle w:val="Style10ptLeftLinespacingsingle"/>
            </w:pPr>
            <w:r>
              <w:t>Sup</w:t>
            </w:r>
            <w:r w:rsidR="0086581B">
              <w:t>p</w:t>
            </w:r>
            <w:r>
              <w:t>orted</w:t>
            </w:r>
          </w:p>
        </w:tc>
      </w:tr>
      <w:tr w:rsidR="006B2486" w14:paraId="10A2FC9A" w14:textId="77777777" w:rsidTr="00481CA2">
        <w:trPr>
          <w:jc w:val="center"/>
        </w:trPr>
        <w:tc>
          <w:tcPr>
            <w:tcW w:w="1164" w:type="dxa"/>
            <w:tcBorders>
              <w:top w:val="nil"/>
              <w:left w:val="nil"/>
              <w:bottom w:val="single" w:sz="4" w:space="0" w:color="auto"/>
              <w:right w:val="nil"/>
            </w:tcBorders>
          </w:tcPr>
          <w:p w14:paraId="4611C4C0" w14:textId="77777777" w:rsidR="006B2486" w:rsidRDefault="006B2486" w:rsidP="00E66991">
            <w:pPr>
              <w:pStyle w:val="Style10ptLeftLinespacingsingle"/>
            </w:pPr>
            <w:r>
              <w:t>H</w:t>
            </w:r>
            <w:r w:rsidRPr="001D57DF">
              <w:rPr>
                <w:vertAlign w:val="subscript"/>
              </w:rPr>
              <w:t>3</w:t>
            </w:r>
          </w:p>
        </w:tc>
        <w:tc>
          <w:tcPr>
            <w:tcW w:w="1123" w:type="dxa"/>
            <w:tcBorders>
              <w:top w:val="nil"/>
              <w:left w:val="nil"/>
              <w:bottom w:val="single" w:sz="4" w:space="0" w:color="auto"/>
              <w:right w:val="nil"/>
            </w:tcBorders>
          </w:tcPr>
          <w:p w14:paraId="32B5C32E" w14:textId="77777777" w:rsidR="006B2486" w:rsidRDefault="006B2486" w:rsidP="00E66991">
            <w:pPr>
              <w:pStyle w:val="Style10ptLeftLinespacingsingle"/>
            </w:pPr>
            <w:r>
              <w:t>PD</w:t>
            </w:r>
          </w:p>
        </w:tc>
        <w:tc>
          <w:tcPr>
            <w:tcW w:w="1080" w:type="dxa"/>
            <w:tcBorders>
              <w:top w:val="nil"/>
              <w:left w:val="nil"/>
              <w:bottom w:val="single" w:sz="4" w:space="0" w:color="auto"/>
              <w:right w:val="nil"/>
            </w:tcBorders>
          </w:tcPr>
          <w:p w14:paraId="020D95DB" w14:textId="77777777" w:rsidR="006B2486" w:rsidRDefault="006B2486" w:rsidP="00E66991">
            <w:pPr>
              <w:pStyle w:val="Style10ptLeftLinespacingsingle"/>
            </w:pPr>
            <w:r>
              <w:t>TO</w:t>
            </w:r>
          </w:p>
        </w:tc>
        <w:tc>
          <w:tcPr>
            <w:tcW w:w="1618" w:type="dxa"/>
            <w:tcBorders>
              <w:top w:val="nil"/>
              <w:left w:val="nil"/>
              <w:bottom w:val="single" w:sz="4" w:space="0" w:color="auto"/>
              <w:right w:val="nil"/>
            </w:tcBorders>
          </w:tcPr>
          <w:p w14:paraId="5E3A9360" w14:textId="22668F52" w:rsidR="006B2486" w:rsidRDefault="006B2486" w:rsidP="00E66991">
            <w:pPr>
              <w:pStyle w:val="Style10ptLeftLinespacingsingle"/>
            </w:pPr>
            <w:r w:rsidRPr="001D57DF">
              <w:t>.0</w:t>
            </w:r>
            <w:r w:rsidR="0088363C">
              <w:t>53</w:t>
            </w:r>
          </w:p>
        </w:tc>
        <w:tc>
          <w:tcPr>
            <w:tcW w:w="1216" w:type="dxa"/>
            <w:tcBorders>
              <w:top w:val="nil"/>
              <w:left w:val="nil"/>
              <w:bottom w:val="single" w:sz="4" w:space="0" w:color="auto"/>
              <w:right w:val="nil"/>
            </w:tcBorders>
          </w:tcPr>
          <w:p w14:paraId="0834B926" w14:textId="434DAFA6" w:rsidR="006B2486" w:rsidRDefault="006B2486" w:rsidP="00E66991">
            <w:pPr>
              <w:pStyle w:val="Style10ptLeftLinespacingsingle"/>
            </w:pPr>
            <w:r w:rsidRPr="001D57DF">
              <w:t>.</w:t>
            </w:r>
            <w:r w:rsidR="00BE2D09">
              <w:t>4</w:t>
            </w:r>
            <w:r w:rsidR="0088363C">
              <w:t>89</w:t>
            </w:r>
          </w:p>
        </w:tc>
        <w:tc>
          <w:tcPr>
            <w:tcW w:w="793" w:type="dxa"/>
            <w:tcBorders>
              <w:top w:val="nil"/>
              <w:left w:val="nil"/>
              <w:bottom w:val="single" w:sz="4" w:space="0" w:color="auto"/>
              <w:right w:val="nil"/>
            </w:tcBorders>
          </w:tcPr>
          <w:p w14:paraId="69AFA72A" w14:textId="0A8019C2" w:rsidR="006B2486" w:rsidRPr="001D57DF" w:rsidRDefault="002413F1" w:rsidP="00E66991">
            <w:pPr>
              <w:pStyle w:val="Style10ptLeftLinespacingsingle"/>
            </w:pPr>
            <w:r>
              <w:t>.</w:t>
            </w:r>
            <w:r w:rsidR="00BE2D09">
              <w:t>686</w:t>
            </w:r>
          </w:p>
        </w:tc>
        <w:tc>
          <w:tcPr>
            <w:tcW w:w="1446" w:type="dxa"/>
            <w:tcBorders>
              <w:top w:val="nil"/>
              <w:left w:val="nil"/>
              <w:bottom w:val="single" w:sz="4" w:space="0" w:color="auto"/>
              <w:right w:val="nil"/>
            </w:tcBorders>
          </w:tcPr>
          <w:p w14:paraId="12ACF796" w14:textId="77777777" w:rsidR="006B2486" w:rsidRDefault="006B2486" w:rsidP="00E66991">
            <w:pPr>
              <w:pStyle w:val="Style10ptLeftLinespacingsingle"/>
            </w:pPr>
            <w:r>
              <w:t>Not Supported</w:t>
            </w:r>
          </w:p>
        </w:tc>
      </w:tr>
    </w:tbl>
    <w:p w14:paraId="1D32282D" w14:textId="77777777" w:rsidR="00045857" w:rsidRDefault="00045857" w:rsidP="004344AF">
      <w:pPr>
        <w:rPr>
          <w:lang w:val="en-US"/>
        </w:rPr>
      </w:pPr>
    </w:p>
    <w:p w14:paraId="57C305F5" w14:textId="392FC861" w:rsidR="001F6F9E" w:rsidRDefault="00571C2C" w:rsidP="004344AF">
      <w:pPr>
        <w:rPr>
          <w:lang w:val="en-US"/>
        </w:rPr>
      </w:pPr>
      <w:r>
        <w:rPr>
          <w:lang w:val="en-US"/>
        </w:rPr>
        <w:t xml:space="preserve">Hasil </w:t>
      </w:r>
      <w:r>
        <w:t xml:space="preserve">pengujian </w:t>
      </w:r>
      <w:r w:rsidR="002726DB">
        <w:rPr>
          <w:lang w:val="en-US"/>
        </w:rPr>
        <w:t xml:space="preserve">dari </w:t>
      </w:r>
      <w:r>
        <w:t xml:space="preserve">prosedur bootstrap </w:t>
      </w:r>
      <w:r w:rsidR="002726DB">
        <w:rPr>
          <w:lang w:val="en-US"/>
        </w:rPr>
        <w:t xml:space="preserve">yang untuk mengetahui </w:t>
      </w:r>
      <w:r>
        <w:t xml:space="preserve">hubungan kasual antara variable konstruk </w:t>
      </w:r>
      <w:r>
        <w:rPr>
          <w:lang w:val="en-US"/>
        </w:rPr>
        <w:t xml:space="preserve">dengan melihat hasil koefisien jalur dan nilai t </w:t>
      </w:r>
      <w:r w:rsidR="002726DB">
        <w:t>(</w:t>
      </w:r>
      <w:r w:rsidR="002726DB" w:rsidRPr="001D6BD9">
        <w:rPr>
          <w:color w:val="00B0F0"/>
        </w:rPr>
        <w:t>Gefen et al., 2000</w:t>
      </w:r>
      <w:r w:rsidR="002726DB">
        <w:t>)</w:t>
      </w:r>
      <w:r w:rsidR="002726DB">
        <w:rPr>
          <w:lang w:val="en-US"/>
        </w:rPr>
        <w:t xml:space="preserve"> </w:t>
      </w:r>
      <w:r>
        <w:rPr>
          <w:lang w:val="en-US"/>
        </w:rPr>
        <w:t xml:space="preserve">menunjukkan </w:t>
      </w:r>
      <w:r w:rsidR="002726DB">
        <w:rPr>
          <w:lang w:val="en-US"/>
        </w:rPr>
        <w:t xml:space="preserve">adanya </w:t>
      </w:r>
      <w:r w:rsidR="00045857">
        <w:rPr>
          <w:lang w:val="en-US"/>
        </w:rPr>
        <w:t>dua kontruks formatif yang mempunyai nilai signifikan yaitu</w:t>
      </w:r>
      <w:r w:rsidR="002726DB">
        <w:rPr>
          <w:lang w:val="en-US"/>
        </w:rPr>
        <w:t xml:space="preserve">: </w:t>
      </w:r>
      <w:r w:rsidR="000D0121">
        <w:rPr>
          <w:noProof/>
          <w:lang w:val="en-US"/>
        </w:rPr>
        <w:t xml:space="preserve">jalur </w:t>
      </w:r>
      <w:r w:rsidR="002726DB">
        <w:rPr>
          <w:noProof/>
          <w:lang w:val="en-US"/>
        </w:rPr>
        <w:t xml:space="preserve">kontruksi antara </w:t>
      </w:r>
      <w:r w:rsidR="000D0121">
        <w:rPr>
          <w:noProof/>
          <w:lang w:val="en-US"/>
        </w:rPr>
        <w:t xml:space="preserve">trend belanja terhadap transaski online (H1) memiliki nilai yang signifikan </w:t>
      </w:r>
      <w:r w:rsidR="000D0121" w:rsidRPr="00371D21">
        <w:rPr>
          <w:noProof/>
          <w:lang w:val="en-US"/>
        </w:rPr>
        <w:t>(</w:t>
      </w:r>
      <w:r w:rsidR="000D0121">
        <w:rPr>
          <w:rFonts w:cs="Times New Roman"/>
          <w:noProof/>
          <w:lang w:val="en-US"/>
        </w:rPr>
        <w:t>β</w:t>
      </w:r>
      <w:r w:rsidR="000D0121" w:rsidRPr="00371D21">
        <w:rPr>
          <w:noProof/>
          <w:lang w:val="en-US"/>
        </w:rPr>
        <w:t xml:space="preserve"> = 0,</w:t>
      </w:r>
      <w:r w:rsidR="000D0121">
        <w:rPr>
          <w:noProof/>
          <w:lang w:val="en-US"/>
        </w:rPr>
        <w:t>294</w:t>
      </w:r>
      <w:r w:rsidR="000D0121" w:rsidRPr="00371D21">
        <w:rPr>
          <w:noProof/>
          <w:lang w:val="en-US"/>
        </w:rPr>
        <w:t xml:space="preserve">, t = </w:t>
      </w:r>
      <w:r w:rsidR="000D0121">
        <w:rPr>
          <w:noProof/>
          <w:lang w:val="en-US"/>
        </w:rPr>
        <w:t>4</w:t>
      </w:r>
      <w:r w:rsidR="000D0121" w:rsidRPr="00371D21">
        <w:rPr>
          <w:noProof/>
          <w:lang w:val="en-US"/>
        </w:rPr>
        <w:t>,</w:t>
      </w:r>
      <w:r w:rsidR="000D0121">
        <w:rPr>
          <w:noProof/>
          <w:lang w:val="en-US"/>
        </w:rPr>
        <w:t>706</w:t>
      </w:r>
      <w:r w:rsidR="000D0121" w:rsidRPr="00371D21">
        <w:rPr>
          <w:noProof/>
          <w:lang w:val="en-US"/>
        </w:rPr>
        <w:t xml:space="preserve">, </w:t>
      </w:r>
      <w:r w:rsidR="000D0121" w:rsidRPr="005142D1">
        <w:rPr>
          <w:noProof/>
          <w:lang w:val="en-US"/>
        </w:rPr>
        <w:t>ρ</w:t>
      </w:r>
      <w:r w:rsidR="000D0121" w:rsidRPr="00371D21">
        <w:rPr>
          <w:noProof/>
          <w:lang w:val="en-US"/>
        </w:rPr>
        <w:t xml:space="preserve"> &lt; 0,00</w:t>
      </w:r>
      <w:r w:rsidR="000D0121">
        <w:rPr>
          <w:noProof/>
          <w:lang w:val="en-US"/>
        </w:rPr>
        <w:t>0</w:t>
      </w:r>
      <w:r w:rsidR="000D0121" w:rsidRPr="00371D21">
        <w:rPr>
          <w:noProof/>
          <w:lang w:val="en-US"/>
        </w:rPr>
        <w:t>)</w:t>
      </w:r>
      <w:r w:rsidR="000D0121">
        <w:rPr>
          <w:noProof/>
          <w:lang w:val="en-US"/>
        </w:rPr>
        <w:t xml:space="preserve"> dan jalur lifestyle terhadap transaksi online (H2) juga memiliki nilai yang signifikan </w:t>
      </w:r>
      <w:r w:rsidR="000D0121" w:rsidRPr="00371D21">
        <w:rPr>
          <w:noProof/>
          <w:lang w:val="en-US"/>
        </w:rPr>
        <w:t>(</w:t>
      </w:r>
      <w:r w:rsidR="000D0121">
        <w:rPr>
          <w:rFonts w:cs="Times New Roman"/>
          <w:noProof/>
          <w:lang w:val="en-US"/>
        </w:rPr>
        <w:t>β</w:t>
      </w:r>
      <w:r w:rsidR="000D0121" w:rsidRPr="00371D21">
        <w:rPr>
          <w:noProof/>
          <w:lang w:val="en-US"/>
        </w:rPr>
        <w:t xml:space="preserve"> =</w:t>
      </w:r>
      <w:r w:rsidR="000D0121">
        <w:rPr>
          <w:noProof/>
          <w:lang w:val="en-US"/>
        </w:rPr>
        <w:t xml:space="preserve"> 0</w:t>
      </w:r>
      <w:r w:rsidR="000D0121" w:rsidRPr="00371D21">
        <w:rPr>
          <w:noProof/>
          <w:lang w:val="en-US"/>
        </w:rPr>
        <w:t>,</w:t>
      </w:r>
      <w:r w:rsidR="000D0121">
        <w:rPr>
          <w:noProof/>
          <w:lang w:val="en-US"/>
        </w:rPr>
        <w:t>207</w:t>
      </w:r>
      <w:r w:rsidR="000D0121" w:rsidRPr="00371D21">
        <w:rPr>
          <w:noProof/>
          <w:lang w:val="en-US"/>
        </w:rPr>
        <w:t xml:space="preserve">, t = </w:t>
      </w:r>
      <w:r w:rsidR="000D0121">
        <w:rPr>
          <w:noProof/>
          <w:lang w:val="en-US"/>
        </w:rPr>
        <w:t>3</w:t>
      </w:r>
      <w:r w:rsidR="000D0121" w:rsidRPr="00371D21">
        <w:rPr>
          <w:noProof/>
          <w:lang w:val="en-US"/>
        </w:rPr>
        <w:t>,</w:t>
      </w:r>
      <w:r w:rsidR="000D0121">
        <w:rPr>
          <w:noProof/>
          <w:lang w:val="en-US"/>
        </w:rPr>
        <w:t>138</w:t>
      </w:r>
      <w:r w:rsidR="000D0121" w:rsidRPr="00371D21">
        <w:rPr>
          <w:noProof/>
          <w:lang w:val="en-US"/>
        </w:rPr>
        <w:t xml:space="preserve">, </w:t>
      </w:r>
      <w:r w:rsidR="000D0121" w:rsidRPr="005142D1">
        <w:rPr>
          <w:noProof/>
          <w:lang w:val="en-US"/>
        </w:rPr>
        <w:t>ρ</w:t>
      </w:r>
      <w:r w:rsidR="000D0121" w:rsidRPr="00371D21">
        <w:rPr>
          <w:noProof/>
          <w:lang w:val="en-US"/>
        </w:rPr>
        <w:t xml:space="preserve"> &lt; 0,00</w:t>
      </w:r>
      <w:r w:rsidR="000D0121">
        <w:rPr>
          <w:noProof/>
          <w:lang w:val="en-US"/>
        </w:rPr>
        <w:t>2</w:t>
      </w:r>
      <w:r w:rsidR="000D0121" w:rsidRPr="00371D21">
        <w:rPr>
          <w:noProof/>
          <w:lang w:val="en-US"/>
        </w:rPr>
        <w:t>)</w:t>
      </w:r>
      <w:r w:rsidR="000D0121">
        <w:rPr>
          <w:noProof/>
          <w:lang w:val="en-US"/>
        </w:rPr>
        <w:t>.</w:t>
      </w:r>
      <w:r w:rsidR="00045857">
        <w:rPr>
          <w:lang w:val="en-US"/>
        </w:rPr>
        <w:t xml:space="preserve"> Namun untuk kontruks</w:t>
      </w:r>
      <w:r w:rsidR="002726DB">
        <w:rPr>
          <w:lang w:val="en-US"/>
        </w:rPr>
        <w:t>i lainnya yaitu:</w:t>
      </w:r>
      <w:r w:rsidR="00045857">
        <w:rPr>
          <w:lang w:val="en-US"/>
        </w:rPr>
        <w:t xml:space="preserve"> price dispersion </w:t>
      </w:r>
      <w:r w:rsidR="000D0121">
        <w:rPr>
          <w:lang w:val="en-US"/>
        </w:rPr>
        <w:t xml:space="preserve">terhadap transaksi online </w:t>
      </w:r>
      <w:r w:rsidR="00A37925">
        <w:rPr>
          <w:lang w:val="en-US"/>
        </w:rPr>
        <w:t xml:space="preserve">(H3) </w:t>
      </w:r>
      <w:r w:rsidR="00045857">
        <w:rPr>
          <w:lang w:val="en-US"/>
        </w:rPr>
        <w:t xml:space="preserve">tidak mempengaruhi secara signifikan </w:t>
      </w:r>
      <w:r w:rsidR="000D0121" w:rsidRPr="00371D21">
        <w:rPr>
          <w:noProof/>
          <w:lang w:val="en-US"/>
        </w:rPr>
        <w:t>(</w:t>
      </w:r>
      <w:r w:rsidR="000D0121">
        <w:rPr>
          <w:rFonts w:cs="Times New Roman"/>
          <w:noProof/>
          <w:lang w:val="en-US"/>
        </w:rPr>
        <w:t>β</w:t>
      </w:r>
      <w:r w:rsidR="000D0121" w:rsidRPr="00371D21">
        <w:rPr>
          <w:noProof/>
          <w:lang w:val="en-US"/>
        </w:rPr>
        <w:t xml:space="preserve"> =</w:t>
      </w:r>
      <w:r w:rsidR="000D0121">
        <w:rPr>
          <w:noProof/>
          <w:lang w:val="en-US"/>
        </w:rPr>
        <w:t xml:space="preserve"> 0</w:t>
      </w:r>
      <w:r w:rsidR="000D0121" w:rsidRPr="00371D21">
        <w:rPr>
          <w:noProof/>
          <w:lang w:val="en-US"/>
        </w:rPr>
        <w:t>,</w:t>
      </w:r>
      <w:r w:rsidR="000D0121">
        <w:rPr>
          <w:noProof/>
          <w:lang w:val="en-US"/>
        </w:rPr>
        <w:t>053</w:t>
      </w:r>
      <w:r w:rsidR="000D0121" w:rsidRPr="00371D21">
        <w:rPr>
          <w:noProof/>
          <w:lang w:val="en-US"/>
        </w:rPr>
        <w:t xml:space="preserve">, t = </w:t>
      </w:r>
      <w:r w:rsidR="000D0121">
        <w:rPr>
          <w:noProof/>
          <w:lang w:val="en-US"/>
        </w:rPr>
        <w:t>0</w:t>
      </w:r>
      <w:r w:rsidR="000D0121" w:rsidRPr="00371D21">
        <w:rPr>
          <w:noProof/>
          <w:lang w:val="en-US"/>
        </w:rPr>
        <w:t>,</w:t>
      </w:r>
      <w:r w:rsidR="000D0121">
        <w:rPr>
          <w:noProof/>
          <w:lang w:val="en-US"/>
        </w:rPr>
        <w:t>686</w:t>
      </w:r>
      <w:r w:rsidR="000D0121" w:rsidRPr="00371D21">
        <w:rPr>
          <w:noProof/>
          <w:lang w:val="en-US"/>
        </w:rPr>
        <w:t xml:space="preserve">, </w:t>
      </w:r>
      <w:r w:rsidR="000D0121" w:rsidRPr="005142D1">
        <w:rPr>
          <w:noProof/>
          <w:lang w:val="en-US"/>
        </w:rPr>
        <w:t>ρ</w:t>
      </w:r>
      <w:r w:rsidR="000D0121" w:rsidRPr="00371D21">
        <w:rPr>
          <w:noProof/>
          <w:lang w:val="en-US"/>
        </w:rPr>
        <w:t xml:space="preserve"> &lt; 0,</w:t>
      </w:r>
      <w:r w:rsidR="000D0121">
        <w:rPr>
          <w:noProof/>
          <w:lang w:val="en-US"/>
        </w:rPr>
        <w:t>489</w:t>
      </w:r>
      <w:r w:rsidR="000D0121" w:rsidRPr="00371D21">
        <w:rPr>
          <w:noProof/>
          <w:lang w:val="en-US"/>
        </w:rPr>
        <w:t>)</w:t>
      </w:r>
      <w:r w:rsidR="002726DB">
        <w:rPr>
          <w:noProof/>
          <w:lang w:val="en-US"/>
        </w:rPr>
        <w:t xml:space="preserve"> dan</w:t>
      </w:r>
      <w:r w:rsidR="00045857">
        <w:rPr>
          <w:lang w:val="en-US"/>
        </w:rPr>
        <w:t xml:space="preserve"> untuk penjelasan yang mungkin dari </w:t>
      </w:r>
      <w:r w:rsidR="00B87F3A">
        <w:rPr>
          <w:lang w:val="en-US"/>
        </w:rPr>
        <w:lastRenderedPageBreak/>
        <w:t xml:space="preserve">hubungan </w:t>
      </w:r>
      <w:r w:rsidR="00045857">
        <w:rPr>
          <w:lang w:val="en-US"/>
        </w:rPr>
        <w:t xml:space="preserve">variabel ini adalah </w:t>
      </w:r>
      <w:bookmarkStart w:id="0" w:name="_Hlk94954469"/>
      <w:r w:rsidR="00045857">
        <w:rPr>
          <w:lang w:val="en-US"/>
        </w:rPr>
        <w:t xml:space="preserve">para </w:t>
      </w:r>
      <w:r w:rsidR="0016056C">
        <w:rPr>
          <w:lang w:val="en-US"/>
        </w:rPr>
        <w:t>pembeli online</w:t>
      </w:r>
      <w:r w:rsidR="00045857">
        <w:rPr>
          <w:lang w:val="en-US"/>
        </w:rPr>
        <w:t xml:space="preserve"> di Indonesia</w:t>
      </w:r>
      <w:r w:rsidR="00DE678C">
        <w:rPr>
          <w:lang w:val="en-US"/>
        </w:rPr>
        <w:t xml:space="preserve"> tidak </w:t>
      </w:r>
      <w:r w:rsidR="00D11DCC">
        <w:rPr>
          <w:lang w:val="en-US"/>
        </w:rPr>
        <w:t xml:space="preserve">menganggap penting informasi tentang perbedaan harga </w:t>
      </w:r>
      <w:r w:rsidR="003E2A26">
        <w:rPr>
          <w:lang w:val="en-US"/>
        </w:rPr>
        <w:t xml:space="preserve">barang </w:t>
      </w:r>
      <w:r w:rsidR="00D11DCC">
        <w:rPr>
          <w:lang w:val="en-US"/>
        </w:rPr>
        <w:t>dan variasi harga</w:t>
      </w:r>
      <w:r w:rsidR="003E2A26">
        <w:rPr>
          <w:lang w:val="en-US"/>
        </w:rPr>
        <w:t xml:space="preserve"> dari setiap barang yang ditampilkan oleh aplikasi untuk mempengaruhi </w:t>
      </w:r>
      <w:r w:rsidR="00D11DCC">
        <w:rPr>
          <w:lang w:val="en-US"/>
        </w:rPr>
        <w:t xml:space="preserve">keputusannya </w:t>
      </w:r>
      <w:r w:rsidR="003E2A26">
        <w:rPr>
          <w:lang w:val="en-US"/>
        </w:rPr>
        <w:t xml:space="preserve">dalam </w:t>
      </w:r>
      <w:r w:rsidR="00D11DCC">
        <w:rPr>
          <w:lang w:val="en-US"/>
        </w:rPr>
        <w:t xml:space="preserve">melakukan transaksi online sehingga </w:t>
      </w:r>
      <w:bookmarkEnd w:id="0"/>
      <w:r w:rsidR="00D11DCC">
        <w:rPr>
          <w:lang w:val="en-US"/>
        </w:rPr>
        <w:t xml:space="preserve">keuntungan yang seharusnya diperoleh dari perbedaan selisih harga </w:t>
      </w:r>
      <w:r w:rsidR="003E2A26">
        <w:rPr>
          <w:lang w:val="en-US"/>
        </w:rPr>
        <w:t xml:space="preserve">ini menjadi </w:t>
      </w:r>
      <w:r w:rsidR="00D11DCC">
        <w:rPr>
          <w:lang w:val="en-US"/>
        </w:rPr>
        <w:t xml:space="preserve">tidak </w:t>
      </w:r>
      <w:r w:rsidR="00F75386">
        <w:rPr>
          <w:lang w:val="en-US"/>
        </w:rPr>
        <w:t>menentukan</w:t>
      </w:r>
      <w:r w:rsidR="00037DC5">
        <w:rPr>
          <w:lang w:val="en-US"/>
        </w:rPr>
        <w:t>.</w:t>
      </w:r>
      <w:r w:rsidR="00E40E09">
        <w:rPr>
          <w:lang w:val="en-US"/>
        </w:rPr>
        <w:t xml:space="preserve"> </w:t>
      </w:r>
    </w:p>
    <w:tbl>
      <w:tblPr>
        <w:tblStyle w:val="TableGrid"/>
        <w:tblW w:w="0" w:type="auto"/>
        <w:tblLook w:val="04A0" w:firstRow="1" w:lastRow="0" w:firstColumn="1" w:lastColumn="0" w:noHBand="0" w:noVBand="1"/>
      </w:tblPr>
      <w:tblGrid>
        <w:gridCol w:w="2214"/>
        <w:gridCol w:w="1358"/>
        <w:gridCol w:w="1806"/>
        <w:gridCol w:w="1833"/>
        <w:gridCol w:w="2031"/>
      </w:tblGrid>
      <w:tr w:rsidR="001F6F9E" w14:paraId="7463CBDA" w14:textId="77777777" w:rsidTr="002E2667">
        <w:tc>
          <w:tcPr>
            <w:tcW w:w="9242" w:type="dxa"/>
            <w:gridSpan w:val="5"/>
            <w:tcBorders>
              <w:bottom w:val="single" w:sz="4" w:space="0" w:color="auto"/>
            </w:tcBorders>
            <w:shd w:val="solid" w:color="auto" w:fill="auto"/>
          </w:tcPr>
          <w:p w14:paraId="6AAFC6A0" w14:textId="77777777" w:rsidR="001F6F9E" w:rsidRPr="00EA3B26" w:rsidRDefault="001F6F9E" w:rsidP="002E2667">
            <w:pPr>
              <w:pStyle w:val="Style10ptLeftLinespacingsingle"/>
            </w:pPr>
            <w:r w:rsidRPr="0089338D">
              <w:rPr>
                <w:color w:val="FFFFFF" w:themeColor="background1"/>
              </w:rPr>
              <w:t xml:space="preserve">Table </w:t>
            </w:r>
            <w:r>
              <w:rPr>
                <w:color w:val="FFFFFF" w:themeColor="background1"/>
              </w:rPr>
              <w:t>5</w:t>
            </w:r>
            <w:r w:rsidRPr="0089338D">
              <w:rPr>
                <w:color w:val="FFFFFF" w:themeColor="background1"/>
              </w:rPr>
              <w:t>. Hasil pengujian variabel moderator</w:t>
            </w:r>
          </w:p>
        </w:tc>
      </w:tr>
      <w:tr w:rsidR="001F6F9E" w14:paraId="34716C7E" w14:textId="77777777" w:rsidTr="002E2667">
        <w:tc>
          <w:tcPr>
            <w:tcW w:w="2214" w:type="dxa"/>
            <w:tcBorders>
              <w:left w:val="nil"/>
              <w:bottom w:val="single" w:sz="4" w:space="0" w:color="auto"/>
              <w:right w:val="nil"/>
            </w:tcBorders>
          </w:tcPr>
          <w:p w14:paraId="33906155" w14:textId="77777777" w:rsidR="001F6F9E" w:rsidRDefault="001F6F9E" w:rsidP="002E2667">
            <w:pPr>
              <w:pStyle w:val="Style10ptLeftLinespacingsingle"/>
            </w:pPr>
            <w:r>
              <w:t xml:space="preserve">Interaction </w:t>
            </w:r>
          </w:p>
        </w:tc>
        <w:tc>
          <w:tcPr>
            <w:tcW w:w="1358" w:type="dxa"/>
            <w:tcBorders>
              <w:left w:val="nil"/>
              <w:bottom w:val="single" w:sz="4" w:space="0" w:color="auto"/>
              <w:right w:val="nil"/>
            </w:tcBorders>
          </w:tcPr>
          <w:p w14:paraId="44F2CC86" w14:textId="77777777" w:rsidR="001F6F9E" w:rsidRDefault="001F6F9E" w:rsidP="002E2667">
            <w:pPr>
              <w:pStyle w:val="Style10ptLeftLinespacingsingle"/>
            </w:pPr>
            <w:r>
              <w:t>Coefficient</w:t>
            </w:r>
          </w:p>
        </w:tc>
        <w:tc>
          <w:tcPr>
            <w:tcW w:w="1806" w:type="dxa"/>
            <w:tcBorders>
              <w:left w:val="nil"/>
              <w:bottom w:val="single" w:sz="4" w:space="0" w:color="auto"/>
              <w:right w:val="nil"/>
            </w:tcBorders>
          </w:tcPr>
          <w:p w14:paraId="319D17EF" w14:textId="77777777" w:rsidR="001F6F9E" w:rsidRDefault="001F6F9E" w:rsidP="002E2667">
            <w:pPr>
              <w:pStyle w:val="Style10ptLeftLinespacingsingle"/>
            </w:pPr>
            <w:r>
              <w:t>Significance</w:t>
            </w:r>
          </w:p>
        </w:tc>
        <w:tc>
          <w:tcPr>
            <w:tcW w:w="1833" w:type="dxa"/>
            <w:tcBorders>
              <w:left w:val="nil"/>
              <w:bottom w:val="single" w:sz="4" w:space="0" w:color="auto"/>
              <w:right w:val="nil"/>
            </w:tcBorders>
          </w:tcPr>
          <w:p w14:paraId="72ABEAD6" w14:textId="77777777" w:rsidR="001F6F9E" w:rsidRDefault="001F6F9E" w:rsidP="002E2667">
            <w:pPr>
              <w:pStyle w:val="Style10ptLeftLinespacingsingle"/>
            </w:pPr>
            <w:r>
              <w:t>t-value</w:t>
            </w:r>
          </w:p>
        </w:tc>
        <w:tc>
          <w:tcPr>
            <w:tcW w:w="2031" w:type="dxa"/>
            <w:tcBorders>
              <w:left w:val="nil"/>
              <w:bottom w:val="single" w:sz="4" w:space="0" w:color="auto"/>
              <w:right w:val="nil"/>
            </w:tcBorders>
          </w:tcPr>
          <w:p w14:paraId="485D0ABA" w14:textId="77777777" w:rsidR="001F6F9E" w:rsidRDefault="001F6F9E" w:rsidP="002E2667">
            <w:pPr>
              <w:pStyle w:val="Style10ptLeftLinespacingsingle"/>
            </w:pPr>
            <w:r>
              <w:t>Effect</w:t>
            </w:r>
          </w:p>
        </w:tc>
      </w:tr>
      <w:tr w:rsidR="001F6F9E" w14:paraId="307EB8FF" w14:textId="77777777" w:rsidTr="002E2667">
        <w:tc>
          <w:tcPr>
            <w:tcW w:w="2214" w:type="dxa"/>
            <w:tcBorders>
              <w:left w:val="nil"/>
              <w:bottom w:val="nil"/>
              <w:right w:val="nil"/>
            </w:tcBorders>
          </w:tcPr>
          <w:p w14:paraId="7E5BFF54" w14:textId="77777777" w:rsidR="001F6F9E" w:rsidRDefault="001F6F9E" w:rsidP="002E2667">
            <w:pPr>
              <w:pStyle w:val="Style10ptLeftLinespacingsingle"/>
            </w:pPr>
            <w:r>
              <w:t xml:space="preserve">TS </w:t>
            </w:r>
            <w:r>
              <w:rPr>
                <w:szCs w:val="16"/>
              </w:rPr>
              <w:t>→ ET → TO</w:t>
            </w:r>
          </w:p>
        </w:tc>
        <w:tc>
          <w:tcPr>
            <w:tcW w:w="1358" w:type="dxa"/>
            <w:tcBorders>
              <w:left w:val="nil"/>
              <w:bottom w:val="nil"/>
              <w:right w:val="nil"/>
            </w:tcBorders>
          </w:tcPr>
          <w:p w14:paraId="2A5F2663" w14:textId="77777777" w:rsidR="001F6F9E" w:rsidRDefault="001F6F9E" w:rsidP="002E2667">
            <w:pPr>
              <w:pStyle w:val="Style10ptLeftLinespacingsingle"/>
            </w:pPr>
            <w:r>
              <w:t>.026</w:t>
            </w:r>
          </w:p>
        </w:tc>
        <w:tc>
          <w:tcPr>
            <w:tcW w:w="1806" w:type="dxa"/>
            <w:tcBorders>
              <w:left w:val="nil"/>
              <w:bottom w:val="nil"/>
              <w:right w:val="nil"/>
            </w:tcBorders>
          </w:tcPr>
          <w:p w14:paraId="1F507AF5" w14:textId="77777777" w:rsidR="001F6F9E" w:rsidRDefault="001F6F9E" w:rsidP="002E2667">
            <w:pPr>
              <w:pStyle w:val="Style10ptLeftLinespacingsingle"/>
            </w:pPr>
            <w:r w:rsidRPr="001D57DF">
              <w:t>.</w:t>
            </w:r>
            <w:r>
              <w:t>606</w:t>
            </w:r>
          </w:p>
        </w:tc>
        <w:tc>
          <w:tcPr>
            <w:tcW w:w="1833" w:type="dxa"/>
            <w:tcBorders>
              <w:left w:val="nil"/>
              <w:bottom w:val="nil"/>
              <w:right w:val="nil"/>
            </w:tcBorders>
          </w:tcPr>
          <w:p w14:paraId="6D89DE6B" w14:textId="77777777" w:rsidR="001F6F9E" w:rsidRDefault="001F6F9E" w:rsidP="002E2667">
            <w:pPr>
              <w:pStyle w:val="Style10ptLeftLinespacingsingle"/>
            </w:pPr>
            <w:r>
              <w:t>.516</w:t>
            </w:r>
          </w:p>
        </w:tc>
        <w:tc>
          <w:tcPr>
            <w:tcW w:w="2031" w:type="dxa"/>
            <w:tcBorders>
              <w:left w:val="nil"/>
              <w:bottom w:val="nil"/>
              <w:right w:val="nil"/>
            </w:tcBorders>
          </w:tcPr>
          <w:p w14:paraId="5D26B1C5" w14:textId="132DC301" w:rsidR="001F6F9E" w:rsidRDefault="00CA7166" w:rsidP="002E2667">
            <w:pPr>
              <w:pStyle w:val="Style10ptLeftLinespacingsingle"/>
            </w:pPr>
            <w:r>
              <w:t>Not Signifikan</w:t>
            </w:r>
          </w:p>
        </w:tc>
      </w:tr>
      <w:tr w:rsidR="001F6F9E" w14:paraId="0BEC785B" w14:textId="77777777" w:rsidTr="002E2667">
        <w:tc>
          <w:tcPr>
            <w:tcW w:w="2214" w:type="dxa"/>
            <w:tcBorders>
              <w:top w:val="nil"/>
              <w:left w:val="nil"/>
              <w:bottom w:val="nil"/>
              <w:right w:val="nil"/>
            </w:tcBorders>
          </w:tcPr>
          <w:p w14:paraId="088BCDBB" w14:textId="77777777" w:rsidR="001F6F9E" w:rsidRDefault="001F6F9E" w:rsidP="002E2667">
            <w:pPr>
              <w:pStyle w:val="Style10ptLeftLinespacingsingle"/>
            </w:pPr>
            <w:r>
              <w:t xml:space="preserve">LS </w:t>
            </w:r>
            <w:r>
              <w:rPr>
                <w:szCs w:val="16"/>
              </w:rPr>
              <w:t>→ ET → TO</w:t>
            </w:r>
          </w:p>
        </w:tc>
        <w:tc>
          <w:tcPr>
            <w:tcW w:w="1358" w:type="dxa"/>
            <w:tcBorders>
              <w:top w:val="nil"/>
              <w:left w:val="nil"/>
              <w:bottom w:val="nil"/>
              <w:right w:val="nil"/>
            </w:tcBorders>
          </w:tcPr>
          <w:p w14:paraId="76603029" w14:textId="77777777" w:rsidR="001F6F9E" w:rsidRDefault="001F6F9E" w:rsidP="002E2667">
            <w:pPr>
              <w:pStyle w:val="Style10ptLeftLinespacingsingle"/>
            </w:pPr>
            <w:r>
              <w:t>.028</w:t>
            </w:r>
          </w:p>
        </w:tc>
        <w:tc>
          <w:tcPr>
            <w:tcW w:w="1806" w:type="dxa"/>
            <w:tcBorders>
              <w:top w:val="nil"/>
              <w:left w:val="nil"/>
              <w:bottom w:val="nil"/>
              <w:right w:val="nil"/>
            </w:tcBorders>
          </w:tcPr>
          <w:p w14:paraId="63247BB2" w14:textId="77777777" w:rsidR="001F6F9E" w:rsidRDefault="001F6F9E" w:rsidP="002E2667">
            <w:pPr>
              <w:pStyle w:val="Style10ptLeftLinespacingsingle"/>
            </w:pPr>
            <w:r w:rsidRPr="001D57DF">
              <w:t>.</w:t>
            </w:r>
            <w:r>
              <w:t>564</w:t>
            </w:r>
          </w:p>
        </w:tc>
        <w:tc>
          <w:tcPr>
            <w:tcW w:w="1833" w:type="dxa"/>
            <w:tcBorders>
              <w:top w:val="nil"/>
              <w:left w:val="nil"/>
              <w:bottom w:val="nil"/>
              <w:right w:val="nil"/>
            </w:tcBorders>
          </w:tcPr>
          <w:p w14:paraId="09AA3D99" w14:textId="77777777" w:rsidR="001F6F9E" w:rsidRDefault="001F6F9E" w:rsidP="002E2667">
            <w:pPr>
              <w:pStyle w:val="Style10ptLeftLinespacingsingle"/>
            </w:pPr>
            <w:r>
              <w:t>.578</w:t>
            </w:r>
          </w:p>
        </w:tc>
        <w:tc>
          <w:tcPr>
            <w:tcW w:w="2031" w:type="dxa"/>
            <w:tcBorders>
              <w:top w:val="nil"/>
              <w:left w:val="nil"/>
              <w:bottom w:val="nil"/>
              <w:right w:val="nil"/>
            </w:tcBorders>
          </w:tcPr>
          <w:p w14:paraId="6309D991" w14:textId="45F3DBB5" w:rsidR="001F6F9E" w:rsidRDefault="00CA7166" w:rsidP="002E2667">
            <w:pPr>
              <w:pStyle w:val="Style10ptLeftLinespacingsingle"/>
            </w:pPr>
            <w:r>
              <w:t>Not Signifikan</w:t>
            </w:r>
          </w:p>
        </w:tc>
      </w:tr>
      <w:tr w:rsidR="001F6F9E" w14:paraId="1F4814AB" w14:textId="77777777" w:rsidTr="002E2667">
        <w:tc>
          <w:tcPr>
            <w:tcW w:w="2214" w:type="dxa"/>
            <w:tcBorders>
              <w:top w:val="nil"/>
              <w:left w:val="nil"/>
              <w:right w:val="nil"/>
            </w:tcBorders>
          </w:tcPr>
          <w:p w14:paraId="09D1E506" w14:textId="77777777" w:rsidR="001F6F9E" w:rsidRDefault="001F6F9E" w:rsidP="002E2667">
            <w:pPr>
              <w:pStyle w:val="Style10ptLeftLinespacingsingle"/>
            </w:pPr>
            <w:r>
              <w:t xml:space="preserve">PD </w:t>
            </w:r>
            <w:r>
              <w:rPr>
                <w:szCs w:val="16"/>
              </w:rPr>
              <w:t>→ ET → TO</w:t>
            </w:r>
          </w:p>
        </w:tc>
        <w:tc>
          <w:tcPr>
            <w:tcW w:w="1358" w:type="dxa"/>
            <w:tcBorders>
              <w:top w:val="nil"/>
              <w:left w:val="nil"/>
              <w:right w:val="nil"/>
            </w:tcBorders>
          </w:tcPr>
          <w:p w14:paraId="544BBFDD" w14:textId="592C8049" w:rsidR="001F6F9E" w:rsidRDefault="001F6F9E" w:rsidP="002E2667">
            <w:pPr>
              <w:pStyle w:val="Style10ptLeftLinespacingsingle"/>
            </w:pPr>
            <w:r>
              <w:t>.0</w:t>
            </w:r>
            <w:r w:rsidR="00824F94">
              <w:t>06</w:t>
            </w:r>
            <w:r>
              <w:t>.</w:t>
            </w:r>
          </w:p>
        </w:tc>
        <w:tc>
          <w:tcPr>
            <w:tcW w:w="1806" w:type="dxa"/>
            <w:tcBorders>
              <w:top w:val="nil"/>
              <w:left w:val="nil"/>
              <w:right w:val="nil"/>
            </w:tcBorders>
          </w:tcPr>
          <w:p w14:paraId="790C7353" w14:textId="77777777" w:rsidR="001F6F9E" w:rsidRPr="001D57DF" w:rsidRDefault="001F6F9E" w:rsidP="002E2667">
            <w:pPr>
              <w:pStyle w:val="Style10ptLeftLinespacingsingle"/>
            </w:pPr>
            <w:r>
              <w:t>.517</w:t>
            </w:r>
          </w:p>
        </w:tc>
        <w:tc>
          <w:tcPr>
            <w:tcW w:w="1833" w:type="dxa"/>
            <w:tcBorders>
              <w:top w:val="nil"/>
              <w:left w:val="nil"/>
              <w:right w:val="nil"/>
            </w:tcBorders>
          </w:tcPr>
          <w:p w14:paraId="6DB12286" w14:textId="77777777" w:rsidR="001F6F9E" w:rsidRDefault="001F6F9E" w:rsidP="002E2667">
            <w:pPr>
              <w:pStyle w:val="Style10ptLeftLinespacingsingle"/>
            </w:pPr>
            <w:r>
              <w:t>.648</w:t>
            </w:r>
          </w:p>
        </w:tc>
        <w:tc>
          <w:tcPr>
            <w:tcW w:w="2031" w:type="dxa"/>
            <w:tcBorders>
              <w:top w:val="nil"/>
              <w:left w:val="nil"/>
              <w:right w:val="nil"/>
            </w:tcBorders>
          </w:tcPr>
          <w:p w14:paraId="3F8653C2" w14:textId="42887819" w:rsidR="001F6F9E" w:rsidRDefault="00CA7166" w:rsidP="002E2667">
            <w:pPr>
              <w:pStyle w:val="Style10ptLeftLinespacingsingle"/>
            </w:pPr>
            <w:r>
              <w:t>Not Signifikan</w:t>
            </w:r>
          </w:p>
        </w:tc>
      </w:tr>
    </w:tbl>
    <w:p w14:paraId="4BE0CF78" w14:textId="77777777" w:rsidR="001F6F9E" w:rsidRDefault="001F6F9E" w:rsidP="004344AF">
      <w:pPr>
        <w:rPr>
          <w:lang w:val="en-US"/>
        </w:rPr>
      </w:pPr>
    </w:p>
    <w:p w14:paraId="7616564D" w14:textId="33821EA2" w:rsidR="006B2486" w:rsidRDefault="004924A8" w:rsidP="004344AF">
      <w:pPr>
        <w:rPr>
          <w:lang w:val="en-US"/>
        </w:rPr>
      </w:pPr>
      <w:r>
        <w:rPr>
          <w:lang w:val="en-US"/>
        </w:rPr>
        <w:t>Hasil R</w:t>
      </w:r>
      <w:r w:rsidRPr="004924A8">
        <w:rPr>
          <w:vertAlign w:val="superscript"/>
          <w:lang w:val="en-US"/>
        </w:rPr>
        <w:t>2</w:t>
      </w:r>
      <w:r>
        <w:rPr>
          <w:lang w:val="en-US"/>
        </w:rPr>
        <w:t xml:space="preserve"> </w:t>
      </w:r>
      <w:r>
        <w:rPr>
          <w:noProof/>
          <w:lang w:val="en-US"/>
        </w:rPr>
        <w:t>seperti yang disajikan pada gambar 1 mengenai hubungan perilaku belanja (trend, gaya hidup dan price dispersion) menyumbang nilai 27,1 % terhadap transaksi online.</w:t>
      </w:r>
      <w:r>
        <w:rPr>
          <w:lang w:val="en-US"/>
        </w:rPr>
        <w:t xml:space="preserve"> </w:t>
      </w:r>
      <w:r w:rsidR="00E40E09">
        <w:rPr>
          <w:lang w:val="en-US"/>
        </w:rPr>
        <w:t>Selanjutnya, ketentuan tentang u</w:t>
      </w:r>
      <w:r w:rsidR="00E40E09">
        <w:t>kuran efek interaksi dianggap kecil jika 0,02, sedang jika 0,15, dan besar jika 0,35 (</w:t>
      </w:r>
      <w:r w:rsidR="00E40E09" w:rsidRPr="002F0245">
        <w:rPr>
          <w:color w:val="00B0F0"/>
        </w:rPr>
        <w:t xml:space="preserve">Cohen, </w:t>
      </w:r>
      <w:r w:rsidR="00236178">
        <w:rPr>
          <w:color w:val="00B0F0"/>
          <w:lang w:val="en-US"/>
        </w:rPr>
        <w:t xml:space="preserve">et al. </w:t>
      </w:r>
      <w:r w:rsidR="00E40E09">
        <w:rPr>
          <w:color w:val="00B0F0"/>
        </w:rPr>
        <w:t>2013</w:t>
      </w:r>
      <w:r w:rsidR="00E40E09">
        <w:t>)</w:t>
      </w:r>
      <w:r w:rsidR="00DE74B3">
        <w:rPr>
          <w:lang w:val="en-US"/>
        </w:rPr>
        <w:t xml:space="preserve"> dan efek </w:t>
      </w:r>
      <w:r w:rsidR="00824F94">
        <w:rPr>
          <w:lang w:val="en-US"/>
        </w:rPr>
        <w:t xml:space="preserve">mediasi </w:t>
      </w:r>
      <w:r w:rsidR="006B3547">
        <w:rPr>
          <w:lang w:val="en-US"/>
        </w:rPr>
        <w:t xml:space="preserve">e-tax </w:t>
      </w:r>
      <w:r w:rsidR="00EA7330">
        <w:rPr>
          <w:lang w:val="en-US"/>
        </w:rPr>
        <w:t xml:space="preserve">memiliki pengaruh </w:t>
      </w:r>
      <w:r w:rsidR="006B3547">
        <w:rPr>
          <w:lang w:val="en-US"/>
        </w:rPr>
        <w:t xml:space="preserve">tidak </w:t>
      </w:r>
      <w:r w:rsidR="00824F94">
        <w:rPr>
          <w:lang w:val="en-US"/>
        </w:rPr>
        <w:t xml:space="preserve">langsung </w:t>
      </w:r>
      <w:r w:rsidR="00D912EE">
        <w:rPr>
          <w:lang w:val="en-US"/>
        </w:rPr>
        <w:t xml:space="preserve">dan tidak signifikan </w:t>
      </w:r>
      <w:r w:rsidR="00824F94">
        <w:rPr>
          <w:lang w:val="en-US"/>
        </w:rPr>
        <w:t xml:space="preserve">dari hubungan </w:t>
      </w:r>
      <w:r w:rsidR="006B3547">
        <w:rPr>
          <w:lang w:val="en-US"/>
        </w:rPr>
        <w:t>perilaku belanja dan transaksi online.</w:t>
      </w:r>
    </w:p>
    <w:tbl>
      <w:tblPr>
        <w:tblStyle w:val="TableGrid"/>
        <w:tblW w:w="0" w:type="auto"/>
        <w:jc w:val="center"/>
        <w:tblLook w:val="04A0" w:firstRow="1" w:lastRow="0" w:firstColumn="1" w:lastColumn="0" w:noHBand="0" w:noVBand="1"/>
      </w:tblPr>
      <w:tblGrid>
        <w:gridCol w:w="1101"/>
        <w:gridCol w:w="6095"/>
        <w:gridCol w:w="1417"/>
      </w:tblGrid>
      <w:tr w:rsidR="00483D06" w14:paraId="58F1BA30" w14:textId="77777777" w:rsidTr="002E2667">
        <w:trPr>
          <w:jc w:val="center"/>
        </w:trPr>
        <w:tc>
          <w:tcPr>
            <w:tcW w:w="8613" w:type="dxa"/>
            <w:gridSpan w:val="3"/>
            <w:tcBorders>
              <w:bottom w:val="single" w:sz="4" w:space="0" w:color="auto"/>
            </w:tcBorders>
            <w:shd w:val="solid" w:color="auto" w:fill="auto"/>
          </w:tcPr>
          <w:p w14:paraId="63413DEE" w14:textId="123D3C8E" w:rsidR="00483D06" w:rsidRDefault="00483D06" w:rsidP="002E2667">
            <w:pPr>
              <w:pStyle w:val="Style10ptLeftLinespacingsingle"/>
            </w:pPr>
            <w:r w:rsidRPr="00F21574">
              <w:rPr>
                <w:color w:val="FFFFFF" w:themeColor="background1"/>
              </w:rPr>
              <w:t xml:space="preserve">Tabel </w:t>
            </w:r>
            <w:r>
              <w:rPr>
                <w:color w:val="FFFFFF" w:themeColor="background1"/>
              </w:rPr>
              <w:t>6</w:t>
            </w:r>
            <w:r w:rsidRPr="00F21574">
              <w:rPr>
                <w:color w:val="FFFFFF" w:themeColor="background1"/>
              </w:rPr>
              <w:t>. Hasil Pengujian Hipotesis</w:t>
            </w:r>
          </w:p>
        </w:tc>
      </w:tr>
      <w:tr w:rsidR="00483D06" w14:paraId="768D7906" w14:textId="77777777" w:rsidTr="002E2667">
        <w:trPr>
          <w:jc w:val="center"/>
        </w:trPr>
        <w:tc>
          <w:tcPr>
            <w:tcW w:w="1101" w:type="dxa"/>
            <w:tcBorders>
              <w:left w:val="nil"/>
              <w:bottom w:val="single" w:sz="4" w:space="0" w:color="auto"/>
              <w:right w:val="nil"/>
            </w:tcBorders>
          </w:tcPr>
          <w:p w14:paraId="4C809E66" w14:textId="77777777" w:rsidR="00483D06" w:rsidRDefault="00483D06" w:rsidP="002E2667">
            <w:pPr>
              <w:pStyle w:val="Style10ptLeftLinespacingsingle"/>
            </w:pPr>
          </w:p>
        </w:tc>
        <w:tc>
          <w:tcPr>
            <w:tcW w:w="6095" w:type="dxa"/>
            <w:tcBorders>
              <w:left w:val="nil"/>
              <w:bottom w:val="single" w:sz="4" w:space="0" w:color="auto"/>
              <w:right w:val="nil"/>
            </w:tcBorders>
          </w:tcPr>
          <w:p w14:paraId="7D499C86" w14:textId="77777777" w:rsidR="00483D06" w:rsidRDefault="00483D06" w:rsidP="002E2667">
            <w:pPr>
              <w:pStyle w:val="Style10ptLeftLinespacingsingle"/>
            </w:pPr>
            <w:r>
              <w:t>Hipotesis</w:t>
            </w:r>
          </w:p>
        </w:tc>
        <w:tc>
          <w:tcPr>
            <w:tcW w:w="1417" w:type="dxa"/>
            <w:tcBorders>
              <w:left w:val="nil"/>
              <w:bottom w:val="single" w:sz="4" w:space="0" w:color="auto"/>
              <w:right w:val="nil"/>
            </w:tcBorders>
          </w:tcPr>
          <w:p w14:paraId="0C06A8FC" w14:textId="77777777" w:rsidR="00483D06" w:rsidRDefault="00483D06" w:rsidP="002E2667">
            <w:pPr>
              <w:pStyle w:val="Style10ptLeftLinespacingsingle"/>
            </w:pPr>
            <w:r>
              <w:t>Hasil</w:t>
            </w:r>
          </w:p>
        </w:tc>
      </w:tr>
      <w:tr w:rsidR="00483D06" w14:paraId="15FDF2DC" w14:textId="77777777" w:rsidTr="002E2667">
        <w:trPr>
          <w:jc w:val="center"/>
        </w:trPr>
        <w:tc>
          <w:tcPr>
            <w:tcW w:w="1101" w:type="dxa"/>
            <w:tcBorders>
              <w:left w:val="nil"/>
              <w:bottom w:val="nil"/>
              <w:right w:val="nil"/>
            </w:tcBorders>
          </w:tcPr>
          <w:p w14:paraId="2C68E533" w14:textId="77777777" w:rsidR="00483D06" w:rsidRDefault="00483D06" w:rsidP="002E2667">
            <w:pPr>
              <w:pStyle w:val="Style10ptLeftLinespacingsingle"/>
            </w:pPr>
            <w:r>
              <w:t>H</w:t>
            </w:r>
            <w:r w:rsidRPr="00F21574">
              <w:rPr>
                <w:vertAlign w:val="subscript"/>
              </w:rPr>
              <w:t>1</w:t>
            </w:r>
          </w:p>
        </w:tc>
        <w:tc>
          <w:tcPr>
            <w:tcW w:w="6095" w:type="dxa"/>
            <w:tcBorders>
              <w:left w:val="nil"/>
              <w:bottom w:val="nil"/>
              <w:right w:val="nil"/>
            </w:tcBorders>
          </w:tcPr>
          <w:p w14:paraId="4F2D9F7B" w14:textId="482A18D3" w:rsidR="00483D06" w:rsidRDefault="00483D06" w:rsidP="002E2667">
            <w:pPr>
              <w:pStyle w:val="Style10ptLeftLinespacingsingle"/>
            </w:pPr>
            <w:r>
              <w:t xml:space="preserve">Tren belanja online berhubungan positif </w:t>
            </w:r>
            <w:r w:rsidR="00322B08">
              <w:t xml:space="preserve">terhadap </w:t>
            </w:r>
            <w:r>
              <w:t>transaksi online</w:t>
            </w:r>
          </w:p>
        </w:tc>
        <w:tc>
          <w:tcPr>
            <w:tcW w:w="1417" w:type="dxa"/>
            <w:tcBorders>
              <w:left w:val="nil"/>
              <w:bottom w:val="nil"/>
              <w:right w:val="nil"/>
            </w:tcBorders>
          </w:tcPr>
          <w:p w14:paraId="244C163D" w14:textId="77777777" w:rsidR="00483D06" w:rsidRDefault="00483D06" w:rsidP="002E2667">
            <w:pPr>
              <w:pStyle w:val="Style10ptLeftLinespacingsingle"/>
            </w:pPr>
            <w:r>
              <w:t>Supported</w:t>
            </w:r>
          </w:p>
        </w:tc>
      </w:tr>
      <w:tr w:rsidR="00483D06" w14:paraId="1C6C67AF" w14:textId="77777777" w:rsidTr="002E2667">
        <w:trPr>
          <w:jc w:val="center"/>
        </w:trPr>
        <w:tc>
          <w:tcPr>
            <w:tcW w:w="1101" w:type="dxa"/>
            <w:tcBorders>
              <w:top w:val="nil"/>
              <w:left w:val="nil"/>
              <w:bottom w:val="nil"/>
              <w:right w:val="nil"/>
            </w:tcBorders>
          </w:tcPr>
          <w:p w14:paraId="4A5AAD73" w14:textId="77777777" w:rsidR="00483D06" w:rsidRDefault="00483D06" w:rsidP="002E2667">
            <w:pPr>
              <w:pStyle w:val="Style10ptLeftLinespacingsingle"/>
            </w:pPr>
            <w:r>
              <w:t>H</w:t>
            </w:r>
            <w:r w:rsidRPr="00F21574">
              <w:rPr>
                <w:vertAlign w:val="subscript"/>
              </w:rPr>
              <w:t>2</w:t>
            </w:r>
          </w:p>
        </w:tc>
        <w:tc>
          <w:tcPr>
            <w:tcW w:w="6095" w:type="dxa"/>
            <w:tcBorders>
              <w:top w:val="nil"/>
              <w:left w:val="nil"/>
              <w:bottom w:val="nil"/>
              <w:right w:val="nil"/>
            </w:tcBorders>
          </w:tcPr>
          <w:p w14:paraId="13BCF237" w14:textId="1736E044" w:rsidR="00483D06" w:rsidRDefault="00483D06" w:rsidP="002E2667">
            <w:pPr>
              <w:pStyle w:val="Style10ptLeftLinespacingsingle"/>
            </w:pPr>
            <w:r>
              <w:t>Gaya hidup mempengaruhi se</w:t>
            </w:r>
            <w:r w:rsidR="00512266">
              <w:t>c</w:t>
            </w:r>
            <w:r>
              <w:t>ara positif terhadap transaksi online</w:t>
            </w:r>
          </w:p>
        </w:tc>
        <w:tc>
          <w:tcPr>
            <w:tcW w:w="1417" w:type="dxa"/>
            <w:tcBorders>
              <w:top w:val="nil"/>
              <w:left w:val="nil"/>
              <w:bottom w:val="nil"/>
              <w:right w:val="nil"/>
            </w:tcBorders>
          </w:tcPr>
          <w:p w14:paraId="52A4EEDD" w14:textId="77777777" w:rsidR="00483D06" w:rsidRDefault="00483D06" w:rsidP="002E2667">
            <w:pPr>
              <w:pStyle w:val="Style10ptLeftLinespacingsingle"/>
            </w:pPr>
            <w:r>
              <w:t>Supported</w:t>
            </w:r>
          </w:p>
        </w:tc>
      </w:tr>
      <w:tr w:rsidR="00483D06" w14:paraId="0F20BD3E" w14:textId="77777777" w:rsidTr="002E2667">
        <w:trPr>
          <w:jc w:val="center"/>
        </w:trPr>
        <w:tc>
          <w:tcPr>
            <w:tcW w:w="1101" w:type="dxa"/>
            <w:tcBorders>
              <w:top w:val="nil"/>
              <w:left w:val="nil"/>
              <w:bottom w:val="nil"/>
              <w:right w:val="nil"/>
            </w:tcBorders>
          </w:tcPr>
          <w:p w14:paraId="05D25E6C" w14:textId="77777777" w:rsidR="00483D06" w:rsidRDefault="00483D06" w:rsidP="002E2667">
            <w:pPr>
              <w:pStyle w:val="Style10ptLeftLinespacingsingle"/>
            </w:pPr>
            <w:r>
              <w:t>H</w:t>
            </w:r>
            <w:r w:rsidRPr="00F21574">
              <w:rPr>
                <w:vertAlign w:val="subscript"/>
              </w:rPr>
              <w:t>3</w:t>
            </w:r>
          </w:p>
        </w:tc>
        <w:tc>
          <w:tcPr>
            <w:tcW w:w="6095" w:type="dxa"/>
            <w:tcBorders>
              <w:top w:val="nil"/>
              <w:left w:val="nil"/>
              <w:bottom w:val="nil"/>
              <w:right w:val="nil"/>
            </w:tcBorders>
          </w:tcPr>
          <w:p w14:paraId="727D1166" w14:textId="4059A9CA" w:rsidR="00483D06" w:rsidRDefault="00483D06" w:rsidP="002E2667">
            <w:pPr>
              <w:pStyle w:val="Style10ptLeftLinespacingsingle"/>
            </w:pPr>
            <w:r>
              <w:t>Dispersi harga yang di cantumkan oleh aplikasi berpengaruh positif terhadap keputusan transaksi online</w:t>
            </w:r>
          </w:p>
        </w:tc>
        <w:tc>
          <w:tcPr>
            <w:tcW w:w="1417" w:type="dxa"/>
            <w:tcBorders>
              <w:top w:val="nil"/>
              <w:left w:val="nil"/>
              <w:bottom w:val="nil"/>
              <w:right w:val="nil"/>
            </w:tcBorders>
          </w:tcPr>
          <w:p w14:paraId="431170CA" w14:textId="77777777" w:rsidR="00483D06" w:rsidRDefault="00483D06" w:rsidP="002E2667">
            <w:pPr>
              <w:pStyle w:val="Style10ptLeftLinespacingsingle"/>
            </w:pPr>
            <w:r>
              <w:t>Not Supported</w:t>
            </w:r>
          </w:p>
        </w:tc>
      </w:tr>
      <w:tr w:rsidR="00483D06" w14:paraId="5256628B" w14:textId="77777777" w:rsidTr="002E2667">
        <w:trPr>
          <w:jc w:val="center"/>
        </w:trPr>
        <w:tc>
          <w:tcPr>
            <w:tcW w:w="1101" w:type="dxa"/>
            <w:tcBorders>
              <w:top w:val="nil"/>
              <w:left w:val="nil"/>
              <w:bottom w:val="nil"/>
              <w:right w:val="nil"/>
            </w:tcBorders>
          </w:tcPr>
          <w:p w14:paraId="7608AE6A" w14:textId="77777777" w:rsidR="00483D06" w:rsidRDefault="00483D06" w:rsidP="002E2667">
            <w:pPr>
              <w:pStyle w:val="Style10ptLeftLinespacingsingle"/>
            </w:pPr>
            <w:r>
              <w:t>H</w:t>
            </w:r>
            <w:r w:rsidRPr="00F21574">
              <w:rPr>
                <w:vertAlign w:val="subscript"/>
              </w:rPr>
              <w:t>4</w:t>
            </w:r>
          </w:p>
        </w:tc>
        <w:tc>
          <w:tcPr>
            <w:tcW w:w="6095" w:type="dxa"/>
            <w:tcBorders>
              <w:top w:val="nil"/>
              <w:left w:val="nil"/>
              <w:bottom w:val="nil"/>
              <w:right w:val="nil"/>
            </w:tcBorders>
          </w:tcPr>
          <w:p w14:paraId="46180FDE" w14:textId="11971537" w:rsidR="00483D06" w:rsidRDefault="00EA7330" w:rsidP="002E2667">
            <w:pPr>
              <w:pStyle w:val="Style10ptLeftLinespacingsingle"/>
            </w:pPr>
            <w:r>
              <w:t xml:space="preserve">Pajak Elektronik berpengaruh langsung pada </w:t>
            </w:r>
            <w:r w:rsidR="00F732A5">
              <w:t xml:space="preserve">perilaku </w:t>
            </w:r>
            <w:r>
              <w:t>tren belanja dan transaksi online</w:t>
            </w:r>
            <w:r w:rsidR="00483D06" w:rsidRPr="00205235">
              <w:t>.</w:t>
            </w:r>
          </w:p>
        </w:tc>
        <w:tc>
          <w:tcPr>
            <w:tcW w:w="1417" w:type="dxa"/>
            <w:tcBorders>
              <w:top w:val="nil"/>
              <w:left w:val="nil"/>
              <w:bottom w:val="nil"/>
              <w:right w:val="nil"/>
            </w:tcBorders>
          </w:tcPr>
          <w:p w14:paraId="24259F20" w14:textId="5C2CD1A9" w:rsidR="00483D06" w:rsidRDefault="00467091" w:rsidP="002E2667">
            <w:pPr>
              <w:pStyle w:val="Style10ptLeftLinespacingsingle"/>
            </w:pPr>
            <w:r>
              <w:t xml:space="preserve">Not </w:t>
            </w:r>
            <w:r w:rsidR="00483D06">
              <w:t>Supported</w:t>
            </w:r>
          </w:p>
        </w:tc>
      </w:tr>
      <w:tr w:rsidR="00483D06" w14:paraId="03A502B5" w14:textId="77777777" w:rsidTr="002E2667">
        <w:trPr>
          <w:jc w:val="center"/>
        </w:trPr>
        <w:tc>
          <w:tcPr>
            <w:tcW w:w="1101" w:type="dxa"/>
            <w:tcBorders>
              <w:top w:val="nil"/>
              <w:left w:val="nil"/>
              <w:bottom w:val="nil"/>
              <w:right w:val="nil"/>
            </w:tcBorders>
          </w:tcPr>
          <w:p w14:paraId="570F591E" w14:textId="77777777" w:rsidR="00483D06" w:rsidRDefault="00483D06" w:rsidP="002E2667">
            <w:pPr>
              <w:pStyle w:val="Style10ptLeftLinespacingsingle"/>
            </w:pPr>
            <w:r>
              <w:t>H</w:t>
            </w:r>
            <w:r w:rsidRPr="00F21574">
              <w:rPr>
                <w:vertAlign w:val="subscript"/>
              </w:rPr>
              <w:t>5</w:t>
            </w:r>
          </w:p>
        </w:tc>
        <w:tc>
          <w:tcPr>
            <w:tcW w:w="6095" w:type="dxa"/>
            <w:tcBorders>
              <w:top w:val="nil"/>
              <w:left w:val="nil"/>
              <w:bottom w:val="nil"/>
              <w:right w:val="nil"/>
            </w:tcBorders>
          </w:tcPr>
          <w:p w14:paraId="02DABFF3" w14:textId="1D47B771" w:rsidR="00483D06" w:rsidRDefault="00EA7330" w:rsidP="002E2667">
            <w:pPr>
              <w:pStyle w:val="Style10ptLeftLinespacingsingle"/>
            </w:pPr>
            <w:r>
              <w:t>Pajak elektronik memiliki pengaruh langsung pada hubungan life style dan transaksi online</w:t>
            </w:r>
          </w:p>
        </w:tc>
        <w:tc>
          <w:tcPr>
            <w:tcW w:w="1417" w:type="dxa"/>
            <w:tcBorders>
              <w:top w:val="nil"/>
              <w:left w:val="nil"/>
              <w:bottom w:val="nil"/>
              <w:right w:val="nil"/>
            </w:tcBorders>
          </w:tcPr>
          <w:p w14:paraId="1D027DE9" w14:textId="225C0D01" w:rsidR="00483D06" w:rsidRDefault="00467091" w:rsidP="002E2667">
            <w:pPr>
              <w:pStyle w:val="Style10ptLeftLinespacingsingle"/>
            </w:pPr>
            <w:r>
              <w:t xml:space="preserve">Not </w:t>
            </w:r>
            <w:r w:rsidR="00483D06">
              <w:t>Supported</w:t>
            </w:r>
          </w:p>
        </w:tc>
      </w:tr>
      <w:tr w:rsidR="00483D06" w14:paraId="48C2035B" w14:textId="77777777" w:rsidTr="002E2667">
        <w:trPr>
          <w:jc w:val="center"/>
        </w:trPr>
        <w:tc>
          <w:tcPr>
            <w:tcW w:w="1101" w:type="dxa"/>
            <w:tcBorders>
              <w:top w:val="nil"/>
              <w:left w:val="nil"/>
              <w:right w:val="nil"/>
            </w:tcBorders>
          </w:tcPr>
          <w:p w14:paraId="6C658090" w14:textId="77777777" w:rsidR="00483D06" w:rsidRDefault="00483D06" w:rsidP="002E2667">
            <w:pPr>
              <w:pStyle w:val="Style10ptLeftLinespacingsingle"/>
            </w:pPr>
            <w:r>
              <w:t>H</w:t>
            </w:r>
            <w:r w:rsidRPr="00F21574">
              <w:rPr>
                <w:vertAlign w:val="subscript"/>
              </w:rPr>
              <w:t>6</w:t>
            </w:r>
          </w:p>
        </w:tc>
        <w:tc>
          <w:tcPr>
            <w:tcW w:w="6095" w:type="dxa"/>
            <w:tcBorders>
              <w:top w:val="nil"/>
              <w:left w:val="nil"/>
              <w:right w:val="nil"/>
            </w:tcBorders>
          </w:tcPr>
          <w:p w14:paraId="0D0217F7" w14:textId="3E986932" w:rsidR="00483D06" w:rsidRDefault="00F63C4E" w:rsidP="002E2667">
            <w:pPr>
              <w:pStyle w:val="Style10ptLeftLinespacingsingle"/>
            </w:pPr>
            <w:r>
              <w:t>Pajak elektronik berpengaruh langs</w:t>
            </w:r>
            <w:r w:rsidR="004C5E61">
              <w:t>u</w:t>
            </w:r>
            <w:r>
              <w:t>ng pada hubungan price dispersion dan transaksi online</w:t>
            </w:r>
          </w:p>
        </w:tc>
        <w:tc>
          <w:tcPr>
            <w:tcW w:w="1417" w:type="dxa"/>
            <w:tcBorders>
              <w:top w:val="nil"/>
              <w:left w:val="nil"/>
              <w:right w:val="nil"/>
            </w:tcBorders>
          </w:tcPr>
          <w:p w14:paraId="245E17C1" w14:textId="6184DADE" w:rsidR="00483D06" w:rsidRDefault="00467091" w:rsidP="002E2667">
            <w:pPr>
              <w:pStyle w:val="Style10ptLeftLinespacingsingle"/>
            </w:pPr>
            <w:r>
              <w:t xml:space="preserve">Not </w:t>
            </w:r>
            <w:r w:rsidR="00483D06">
              <w:t>Supported</w:t>
            </w:r>
          </w:p>
        </w:tc>
      </w:tr>
    </w:tbl>
    <w:p w14:paraId="0DF938A1" w14:textId="77777777" w:rsidR="00483D06" w:rsidRPr="00DE74B3" w:rsidRDefault="00483D06" w:rsidP="004344AF">
      <w:pPr>
        <w:rPr>
          <w:lang w:val="en-US"/>
        </w:rPr>
      </w:pPr>
    </w:p>
    <w:p w14:paraId="0C8F5489" w14:textId="5E3325E6" w:rsidR="000C0FDC" w:rsidRDefault="00C8661F" w:rsidP="0059265C">
      <w:pPr>
        <w:pStyle w:val="Heading1"/>
        <w:rPr>
          <w:lang w:val="en-US"/>
        </w:rPr>
      </w:pPr>
      <w:r>
        <w:rPr>
          <w:lang w:val="en-US"/>
        </w:rPr>
        <w:t>5. Diskusi</w:t>
      </w:r>
    </w:p>
    <w:p w14:paraId="6B41E276" w14:textId="4DC8C147" w:rsidR="00420BDA" w:rsidRPr="00420BDA" w:rsidRDefault="00420BDA" w:rsidP="00420BDA">
      <w:pPr>
        <w:pStyle w:val="Heading2"/>
        <w:rPr>
          <w:lang w:val="en-US"/>
        </w:rPr>
      </w:pPr>
      <w:r>
        <w:rPr>
          <w:lang w:val="en-US"/>
        </w:rPr>
        <w:t>5.1. Temuan</w:t>
      </w:r>
    </w:p>
    <w:p w14:paraId="0D7C9AE7" w14:textId="38AAE29D" w:rsidR="00C42C6D" w:rsidRDefault="00BD4971" w:rsidP="00A36FB8">
      <w:pPr>
        <w:rPr>
          <w:lang w:val="en-US"/>
        </w:rPr>
      </w:pPr>
      <w:r>
        <w:rPr>
          <w:lang w:val="en-US"/>
        </w:rPr>
        <w:t xml:space="preserve">Ada beberapa temuan menarik dari penelitian ini, seperti trend belanja online dan lifestyle </w:t>
      </w:r>
      <w:r w:rsidR="004772D5">
        <w:rPr>
          <w:lang w:val="en-US"/>
        </w:rPr>
        <w:t xml:space="preserve">menjadi predictor </w:t>
      </w:r>
      <w:r>
        <w:rPr>
          <w:lang w:val="en-US"/>
        </w:rPr>
        <w:t>yang signifikan terhadap transaksi online. Mendukung temuan sebelumnya, tentang trend belanja online</w:t>
      </w:r>
      <w:r w:rsidR="004772D5">
        <w:rPr>
          <w:lang w:val="en-US"/>
        </w:rPr>
        <w:t xml:space="preserve"> yang </w:t>
      </w:r>
      <w:r w:rsidR="00E17F5F">
        <w:rPr>
          <w:lang w:val="en-US"/>
        </w:rPr>
        <w:t xml:space="preserve">dapat memberikan kepercayaan dan kenyamanan </w:t>
      </w:r>
      <w:r w:rsidR="0056709D">
        <w:rPr>
          <w:lang w:val="en-US"/>
        </w:rPr>
        <w:t xml:space="preserve">saat </w:t>
      </w:r>
      <w:r w:rsidR="00E17F5F">
        <w:rPr>
          <w:lang w:val="en-US"/>
        </w:rPr>
        <w:t xml:space="preserve">belanja </w:t>
      </w:r>
      <w:r w:rsidR="004B3C04">
        <w:rPr>
          <w:lang w:val="en-US"/>
        </w:rPr>
        <w:t xml:space="preserve">bagi konsumen </w:t>
      </w:r>
      <w:r w:rsidR="00E17F5F">
        <w:rPr>
          <w:lang w:val="en-US"/>
        </w:rPr>
        <w:t>(</w:t>
      </w:r>
      <w:r w:rsidR="00A95D61" w:rsidRPr="003F5B80">
        <w:rPr>
          <w:color w:val="00B0F0"/>
          <w:lang w:val="en-US"/>
        </w:rPr>
        <w:t>Gabriel &amp; Ogbuigwe, 2016</w:t>
      </w:r>
      <w:r w:rsidR="00A95D61">
        <w:rPr>
          <w:lang w:val="en-US"/>
        </w:rPr>
        <w:t>)</w:t>
      </w:r>
      <w:r w:rsidR="00EB783F">
        <w:rPr>
          <w:lang w:val="en-US"/>
        </w:rPr>
        <w:t>, Trend belanja online dalam penelitian ini juga menunjukkan pengaruh yang sama, kontribusi</w:t>
      </w:r>
      <w:r w:rsidR="00DA03C1">
        <w:rPr>
          <w:lang w:val="en-US"/>
        </w:rPr>
        <w:t xml:space="preserve"> kepercayaan mungkin terlihat pada </w:t>
      </w:r>
      <w:r w:rsidR="009A6A5B">
        <w:rPr>
          <w:lang w:val="en-US"/>
        </w:rPr>
        <w:t xml:space="preserve">kualitas produk yang dianggap baik oleh para konsumen dan informasi </w:t>
      </w:r>
      <w:r w:rsidR="00061D0E">
        <w:rPr>
          <w:lang w:val="en-US"/>
        </w:rPr>
        <w:t xml:space="preserve">tentang produk </w:t>
      </w:r>
      <w:r w:rsidR="009A6A5B">
        <w:rPr>
          <w:lang w:val="en-US"/>
        </w:rPr>
        <w:t>yang cukup akurat</w:t>
      </w:r>
      <w:r w:rsidR="00061D0E">
        <w:rPr>
          <w:lang w:val="en-US"/>
        </w:rPr>
        <w:t>.</w:t>
      </w:r>
      <w:r w:rsidR="009A6A5B">
        <w:rPr>
          <w:lang w:val="en-US"/>
        </w:rPr>
        <w:t xml:space="preserve"> </w:t>
      </w:r>
      <w:r w:rsidR="00061D0E">
        <w:rPr>
          <w:lang w:val="en-US"/>
        </w:rPr>
        <w:t>S</w:t>
      </w:r>
      <w:r w:rsidR="009A6A5B">
        <w:rPr>
          <w:lang w:val="en-US"/>
        </w:rPr>
        <w:t>elain itu</w:t>
      </w:r>
      <w:r w:rsidR="00061D0E">
        <w:rPr>
          <w:lang w:val="en-US"/>
        </w:rPr>
        <w:t xml:space="preserve">, </w:t>
      </w:r>
      <w:r w:rsidR="009A6A5B">
        <w:rPr>
          <w:lang w:val="en-US"/>
        </w:rPr>
        <w:t xml:space="preserve">kenyamanan saat belanja </w:t>
      </w:r>
      <w:r w:rsidR="003F5B80">
        <w:rPr>
          <w:lang w:val="en-US"/>
        </w:rPr>
        <w:t xml:space="preserve">terlihat pada </w:t>
      </w:r>
      <w:r w:rsidR="004B3C04">
        <w:rPr>
          <w:lang w:val="en-US"/>
        </w:rPr>
        <w:t xml:space="preserve">banyaknya </w:t>
      </w:r>
      <w:r w:rsidR="003F5B80">
        <w:rPr>
          <w:lang w:val="en-US"/>
        </w:rPr>
        <w:t xml:space="preserve">pilihan produk yang beragam dan fashionable </w:t>
      </w:r>
      <w:r w:rsidR="004B3C04">
        <w:rPr>
          <w:lang w:val="en-US"/>
        </w:rPr>
        <w:t xml:space="preserve">yang </w:t>
      </w:r>
      <w:r w:rsidR="003F5B80">
        <w:rPr>
          <w:lang w:val="en-US"/>
        </w:rPr>
        <w:t xml:space="preserve">sangat mendukung keputusan konsumen untuk melakukan transaksi online. Perkembanngan </w:t>
      </w:r>
      <w:r w:rsidR="00717E56">
        <w:rPr>
          <w:lang w:val="en-US"/>
        </w:rPr>
        <w:t xml:space="preserve">tren </w:t>
      </w:r>
      <w:r w:rsidR="003F5B80">
        <w:rPr>
          <w:lang w:val="en-US"/>
        </w:rPr>
        <w:t xml:space="preserve">belanja online mungkin muncul karena keterbukaan informasi tentang produk terbaru </w:t>
      </w:r>
      <w:r w:rsidR="00061D0E">
        <w:rPr>
          <w:lang w:val="en-US"/>
        </w:rPr>
        <w:t xml:space="preserve">yang disediakan oleh aplikasi online sehingga </w:t>
      </w:r>
      <w:r w:rsidR="00061D0E">
        <w:rPr>
          <w:lang w:val="en-US"/>
        </w:rPr>
        <w:lastRenderedPageBreak/>
        <w:t xml:space="preserve">mempengaruhi keputusan para konsumen untuk melakukan transaksi secara online. Selanjutnya, life style yang </w:t>
      </w:r>
      <w:r w:rsidR="00597140">
        <w:rPr>
          <w:lang w:val="en-US"/>
        </w:rPr>
        <w:t xml:space="preserve">berpengaruh signifikan terhadap transaksi online. </w:t>
      </w:r>
      <w:r w:rsidR="000D4C4F">
        <w:rPr>
          <w:lang w:val="en-US"/>
        </w:rPr>
        <w:t xml:space="preserve"> </w:t>
      </w:r>
      <w:r w:rsidR="00E87E4A">
        <w:rPr>
          <w:color w:val="00B0F0"/>
          <w:lang w:val="en-US"/>
        </w:rPr>
        <w:t>Pandey, dkk (2014)</w:t>
      </w:r>
      <w:r w:rsidR="009A0A59">
        <w:rPr>
          <w:color w:val="00B0F0"/>
          <w:lang w:val="en-US"/>
        </w:rPr>
        <w:t xml:space="preserve"> </w:t>
      </w:r>
      <w:r w:rsidR="000D4C4F" w:rsidRPr="000D4C4F">
        <w:rPr>
          <w:lang w:val="en-US"/>
        </w:rPr>
        <w:t>menjelaskan bahwa</w:t>
      </w:r>
      <w:r w:rsidR="000D4C4F">
        <w:rPr>
          <w:lang w:val="en-US"/>
        </w:rPr>
        <w:t xml:space="preserve"> para pembeli online merasakan bahwa </w:t>
      </w:r>
      <w:r w:rsidR="000D4C4F" w:rsidRPr="000D4C4F">
        <w:rPr>
          <w:lang w:val="en-US"/>
        </w:rPr>
        <w:t>belanja online menjadi lebih mudah</w:t>
      </w:r>
      <w:r w:rsidR="000D4C4F">
        <w:rPr>
          <w:lang w:val="en-US"/>
        </w:rPr>
        <w:t xml:space="preserve"> dan </w:t>
      </w:r>
      <w:r w:rsidR="000D4C4F" w:rsidRPr="000D4C4F">
        <w:rPr>
          <w:lang w:val="en-US"/>
        </w:rPr>
        <w:t>lebih menghibur</w:t>
      </w:r>
      <w:r w:rsidR="000D4C4F">
        <w:rPr>
          <w:lang w:val="en-US"/>
        </w:rPr>
        <w:t xml:space="preserve">. </w:t>
      </w:r>
      <w:r w:rsidR="009A0A59">
        <w:rPr>
          <w:lang w:val="en-US"/>
        </w:rPr>
        <w:t xml:space="preserve">Dan </w:t>
      </w:r>
      <w:r w:rsidR="00C31F19">
        <w:rPr>
          <w:lang w:val="en-US"/>
        </w:rPr>
        <w:t xml:space="preserve">penelitian </w:t>
      </w:r>
      <w:r w:rsidR="009A0A59">
        <w:rPr>
          <w:lang w:val="en-US"/>
        </w:rPr>
        <w:t xml:space="preserve">ini mendukung temuan tersebut, dimana perilaku gaya hidup pada transaksi online ditemukan pada aplikasi TO </w:t>
      </w:r>
      <w:r w:rsidR="00D02283">
        <w:rPr>
          <w:lang w:val="en-US"/>
        </w:rPr>
        <w:t xml:space="preserve">dinilai </w:t>
      </w:r>
      <w:r w:rsidR="009A0A59">
        <w:rPr>
          <w:lang w:val="en-US"/>
        </w:rPr>
        <w:t>sangat menarik,</w:t>
      </w:r>
      <w:r w:rsidR="00D02283">
        <w:rPr>
          <w:lang w:val="en-US"/>
        </w:rPr>
        <w:t xml:space="preserve"> </w:t>
      </w:r>
      <w:r w:rsidR="009A0A59">
        <w:rPr>
          <w:lang w:val="en-US"/>
        </w:rPr>
        <w:t xml:space="preserve">banyak informasi dan promo yang diberikan, mendukung aktivitas </w:t>
      </w:r>
      <w:r w:rsidR="00D02283">
        <w:rPr>
          <w:lang w:val="en-US"/>
        </w:rPr>
        <w:t xml:space="preserve">dan kegiatan </w:t>
      </w:r>
      <w:r w:rsidR="007047A0">
        <w:rPr>
          <w:lang w:val="en-US"/>
        </w:rPr>
        <w:t>hidup setiap hari</w:t>
      </w:r>
      <w:r w:rsidR="009A0A59">
        <w:rPr>
          <w:lang w:val="en-US"/>
        </w:rPr>
        <w:t>, membantu kehid</w:t>
      </w:r>
      <w:r w:rsidR="002063A6">
        <w:rPr>
          <w:lang w:val="en-US"/>
        </w:rPr>
        <w:t>upan social mereka</w:t>
      </w:r>
      <w:r w:rsidR="0016056C">
        <w:rPr>
          <w:lang w:val="en-US"/>
        </w:rPr>
        <w:t>.</w:t>
      </w:r>
      <w:r w:rsidR="00C42C6D">
        <w:rPr>
          <w:lang w:val="en-US"/>
        </w:rPr>
        <w:t xml:space="preserve"> </w:t>
      </w:r>
      <w:r w:rsidR="00295BDB">
        <w:rPr>
          <w:lang w:val="en-US"/>
        </w:rPr>
        <w:t>Hasil ini menjelaskan bahawa k</w:t>
      </w:r>
      <w:r w:rsidR="00C670A2">
        <w:rPr>
          <w:lang w:val="en-US"/>
        </w:rPr>
        <w:t xml:space="preserve">eberadaan </w:t>
      </w:r>
      <w:r w:rsidR="00295BDB" w:rsidRPr="008F2AB7">
        <w:t xml:space="preserve">aplikasi </w:t>
      </w:r>
      <w:r w:rsidR="00295BDB" w:rsidRPr="008F2AB7">
        <w:rPr>
          <w:lang w:val="en-US"/>
        </w:rPr>
        <w:t xml:space="preserve">transaksi </w:t>
      </w:r>
      <w:r w:rsidR="00295BDB" w:rsidRPr="008F2AB7">
        <w:t>online</w:t>
      </w:r>
      <w:r w:rsidR="00295BDB">
        <w:rPr>
          <w:lang w:val="en-US"/>
        </w:rPr>
        <w:t xml:space="preserve"> mungkin telah </w:t>
      </w:r>
      <w:r w:rsidR="00E267AA">
        <w:rPr>
          <w:lang w:val="en-US"/>
        </w:rPr>
        <w:t xml:space="preserve">diterima dengan </w:t>
      </w:r>
      <w:r w:rsidR="00295BDB">
        <w:rPr>
          <w:lang w:val="en-US"/>
        </w:rPr>
        <w:t xml:space="preserve">baik </w:t>
      </w:r>
      <w:r w:rsidR="00E267AA">
        <w:rPr>
          <w:lang w:val="en-US"/>
        </w:rPr>
        <w:t>oleh online shoopers</w:t>
      </w:r>
      <w:r w:rsidR="00295BDB">
        <w:rPr>
          <w:lang w:val="en-US"/>
        </w:rPr>
        <w:t xml:space="preserve"> dan dapat mendukung aktivitas mereka setiap hari seperti: </w:t>
      </w:r>
      <w:r w:rsidR="00C670A2">
        <w:rPr>
          <w:lang w:val="en-US"/>
        </w:rPr>
        <w:t xml:space="preserve">belanja, membayar tagihan, transfer uang, pemesanan tiket, </w:t>
      </w:r>
      <w:r w:rsidR="008B5CB4">
        <w:rPr>
          <w:lang w:val="en-US"/>
        </w:rPr>
        <w:t xml:space="preserve">dan </w:t>
      </w:r>
      <w:r w:rsidR="00C670A2">
        <w:rPr>
          <w:lang w:val="en-US"/>
        </w:rPr>
        <w:t>pemesanan aplikasi online</w:t>
      </w:r>
      <w:r w:rsidR="001F6F9E">
        <w:rPr>
          <w:lang w:val="en-US"/>
        </w:rPr>
        <w:t>.</w:t>
      </w:r>
    </w:p>
    <w:p w14:paraId="29A7FF50" w14:textId="02D65424" w:rsidR="0016056C" w:rsidRDefault="0016056C" w:rsidP="00A36FB8">
      <w:pPr>
        <w:rPr>
          <w:lang w:val="en-US"/>
        </w:rPr>
      </w:pPr>
      <w:r>
        <w:rPr>
          <w:lang w:val="en-US"/>
        </w:rPr>
        <w:t>Price dispers</w:t>
      </w:r>
      <w:r w:rsidR="00F83A81">
        <w:rPr>
          <w:lang w:val="en-US"/>
        </w:rPr>
        <w:t>ion</w:t>
      </w:r>
      <w:r>
        <w:rPr>
          <w:lang w:val="en-US"/>
        </w:rPr>
        <w:t xml:space="preserve"> tidak ditemukan berpengaruh terhadap transaksi online</w:t>
      </w:r>
      <w:r w:rsidR="00F83A81">
        <w:rPr>
          <w:lang w:val="en-US"/>
        </w:rPr>
        <w:t xml:space="preserve"> dan temuan ini sejalan dengan hasil </w:t>
      </w:r>
      <w:r w:rsidR="00F83A81" w:rsidRPr="007C3049">
        <w:rPr>
          <w:color w:val="00B0F0"/>
          <w:lang w:val="en-US"/>
        </w:rPr>
        <w:t>Ghoze dan Y</w:t>
      </w:r>
      <w:r w:rsidR="00C42C6D" w:rsidRPr="007C3049">
        <w:rPr>
          <w:color w:val="00B0F0"/>
          <w:lang w:val="en-US"/>
        </w:rPr>
        <w:t>ao, (2010)</w:t>
      </w:r>
      <w:r w:rsidR="00C42C6D">
        <w:rPr>
          <w:lang w:val="en-US"/>
        </w:rPr>
        <w:t xml:space="preserve"> yang menjelaskan bahwa </w:t>
      </w:r>
      <w:r w:rsidR="00C42C6D" w:rsidRPr="00C42C6D">
        <w:rPr>
          <w:lang w:val="en-US"/>
        </w:rPr>
        <w:t xml:space="preserve">di beberapa pasar </w:t>
      </w:r>
      <w:r w:rsidR="00C42C6D">
        <w:rPr>
          <w:lang w:val="en-US"/>
        </w:rPr>
        <w:t xml:space="preserve">internet </w:t>
      </w:r>
      <w:r w:rsidR="00C42C6D" w:rsidRPr="00C42C6D">
        <w:rPr>
          <w:lang w:val="en-US"/>
        </w:rPr>
        <w:t xml:space="preserve">"hukum satu harga" dapat berlaku ketika </w:t>
      </w:r>
      <w:r w:rsidR="00C42C6D">
        <w:rPr>
          <w:lang w:val="en-US"/>
        </w:rPr>
        <w:t xml:space="preserve">konsumen </w:t>
      </w:r>
      <w:r w:rsidR="00C42C6D" w:rsidRPr="00C42C6D">
        <w:rPr>
          <w:lang w:val="en-US"/>
        </w:rPr>
        <w:t>mempertimbangkan harga transaksi, bukan harga yang diposting</w:t>
      </w:r>
      <w:r w:rsidR="00C42C6D">
        <w:rPr>
          <w:lang w:val="en-US"/>
        </w:rPr>
        <w:t xml:space="preserve"> oleh aplikasi. </w:t>
      </w:r>
      <w:r w:rsidR="00160CD3">
        <w:rPr>
          <w:lang w:val="en-US"/>
        </w:rPr>
        <w:t>D</w:t>
      </w:r>
      <w:r w:rsidR="00C42C6D">
        <w:rPr>
          <w:lang w:val="en-US"/>
        </w:rPr>
        <w:t>alam konstek</w:t>
      </w:r>
      <w:r w:rsidR="004A21DB">
        <w:rPr>
          <w:lang w:val="en-US"/>
        </w:rPr>
        <w:t>s</w:t>
      </w:r>
      <w:r w:rsidR="00C42C6D">
        <w:rPr>
          <w:lang w:val="en-US"/>
        </w:rPr>
        <w:t xml:space="preserve"> penelitian </w:t>
      </w:r>
      <w:r>
        <w:rPr>
          <w:lang w:val="en-US"/>
        </w:rPr>
        <w:t>ini</w:t>
      </w:r>
      <w:r w:rsidR="00C42C6D">
        <w:rPr>
          <w:lang w:val="en-US"/>
        </w:rPr>
        <w:t xml:space="preserve">, </w:t>
      </w:r>
      <w:r>
        <w:rPr>
          <w:lang w:val="en-US"/>
        </w:rPr>
        <w:t xml:space="preserve">para pembeli online </w:t>
      </w:r>
      <w:r w:rsidR="00391FA0">
        <w:rPr>
          <w:lang w:val="en-US"/>
        </w:rPr>
        <w:t xml:space="preserve">tidak menganggap penting informasi </w:t>
      </w:r>
      <w:r w:rsidR="001F6F9E">
        <w:rPr>
          <w:lang w:val="en-US"/>
        </w:rPr>
        <w:t xml:space="preserve">yang mereka peroleh tentang </w:t>
      </w:r>
      <w:r w:rsidR="00391FA0">
        <w:rPr>
          <w:lang w:val="en-US"/>
        </w:rPr>
        <w:t>perbedaan harga barang dan variasi harga dari setiap barang yang ditampilkan oleh aplikasi</w:t>
      </w:r>
      <w:r w:rsidR="001F6F9E">
        <w:rPr>
          <w:lang w:val="en-US"/>
        </w:rPr>
        <w:t xml:space="preserve"> </w:t>
      </w:r>
      <w:r w:rsidR="000337D9">
        <w:rPr>
          <w:lang w:val="en-US"/>
        </w:rPr>
        <w:t xml:space="preserve">dalam mempengaruhi </w:t>
      </w:r>
      <w:r w:rsidR="00391FA0">
        <w:rPr>
          <w:lang w:val="en-US"/>
        </w:rPr>
        <w:t xml:space="preserve">keputusan </w:t>
      </w:r>
      <w:r w:rsidR="001F6F9E">
        <w:rPr>
          <w:lang w:val="en-US"/>
        </w:rPr>
        <w:t xml:space="preserve">mereka untuk </w:t>
      </w:r>
      <w:r w:rsidR="00C42C6D">
        <w:rPr>
          <w:lang w:val="en-US"/>
        </w:rPr>
        <w:t>ber</w:t>
      </w:r>
      <w:r w:rsidR="00391FA0">
        <w:rPr>
          <w:lang w:val="en-US"/>
        </w:rPr>
        <w:t xml:space="preserve">transaksi </w:t>
      </w:r>
      <w:r w:rsidR="00C42C6D">
        <w:rPr>
          <w:lang w:val="en-US"/>
        </w:rPr>
        <w:t>online</w:t>
      </w:r>
      <w:r w:rsidR="001F6F9E">
        <w:rPr>
          <w:lang w:val="en-US"/>
        </w:rPr>
        <w:t>.</w:t>
      </w:r>
    </w:p>
    <w:p w14:paraId="0FCE4C2C" w14:textId="46BA627B" w:rsidR="00160CD3" w:rsidRDefault="004D70DA" w:rsidP="00160CD3">
      <w:pPr>
        <w:rPr>
          <w:lang w:val="en-US"/>
        </w:rPr>
      </w:pPr>
      <w:r>
        <w:rPr>
          <w:lang w:val="en-US"/>
        </w:rPr>
        <w:t xml:space="preserve">Meskipun ada kesadaran yang timbul dari para pembeli </w:t>
      </w:r>
      <w:r w:rsidR="00307DA7">
        <w:rPr>
          <w:lang w:val="en-US"/>
        </w:rPr>
        <w:t xml:space="preserve">online </w:t>
      </w:r>
      <w:r>
        <w:rPr>
          <w:lang w:val="en-US"/>
        </w:rPr>
        <w:t xml:space="preserve">tentang kebijakan e-tax </w:t>
      </w:r>
      <w:r w:rsidR="00160CD3">
        <w:rPr>
          <w:lang w:val="en-US"/>
        </w:rPr>
        <w:t>seperti</w:t>
      </w:r>
      <w:r w:rsidR="003B2D7A">
        <w:rPr>
          <w:lang w:val="en-US"/>
        </w:rPr>
        <w:t>: menerima potongan pajak,</w:t>
      </w:r>
      <w:r w:rsidR="00451F04">
        <w:rPr>
          <w:lang w:val="en-US"/>
        </w:rPr>
        <w:t xml:space="preserve"> mendukung e-tax,</w:t>
      </w:r>
      <w:r w:rsidR="003B2D7A">
        <w:rPr>
          <w:lang w:val="en-US"/>
        </w:rPr>
        <w:t xml:space="preserve"> platform aplikasi </w:t>
      </w:r>
      <w:r w:rsidR="00451F04">
        <w:rPr>
          <w:lang w:val="en-US"/>
        </w:rPr>
        <w:t xml:space="preserve">memberikan </w:t>
      </w:r>
      <w:r w:rsidR="003B2D7A">
        <w:rPr>
          <w:lang w:val="en-US"/>
        </w:rPr>
        <w:t xml:space="preserve">kemudahan pembayaran </w:t>
      </w:r>
      <w:r w:rsidR="0012688A">
        <w:rPr>
          <w:lang w:val="en-US"/>
        </w:rPr>
        <w:t xml:space="preserve">pajak dan </w:t>
      </w:r>
      <w:r w:rsidR="003B2D7A">
        <w:rPr>
          <w:lang w:val="en-US"/>
        </w:rPr>
        <w:t>kepatuhan pajak</w:t>
      </w:r>
      <w:r w:rsidR="00451F04">
        <w:rPr>
          <w:lang w:val="en-US"/>
        </w:rPr>
        <w:t>, namun</w:t>
      </w:r>
      <w:r w:rsidR="00560FDE">
        <w:rPr>
          <w:lang w:val="en-US"/>
        </w:rPr>
        <w:t xml:space="preserve"> </w:t>
      </w:r>
      <w:r w:rsidR="00A94407" w:rsidRPr="007D67E0">
        <w:rPr>
          <w:color w:val="00B0F0"/>
          <w:lang w:val="en-US"/>
        </w:rPr>
        <w:t>Jin (2003)</w:t>
      </w:r>
      <w:r w:rsidR="00A94407">
        <w:rPr>
          <w:lang w:val="en-US"/>
        </w:rPr>
        <w:t xml:space="preserve"> </w:t>
      </w:r>
      <w:r w:rsidR="00991DE7">
        <w:rPr>
          <w:lang w:val="en-US"/>
        </w:rPr>
        <w:t xml:space="preserve">menjelaskan </w:t>
      </w:r>
      <w:r w:rsidR="00A94407">
        <w:rPr>
          <w:lang w:val="en-US"/>
        </w:rPr>
        <w:t>m</w:t>
      </w:r>
      <w:r w:rsidR="00A94407" w:rsidRPr="00A94407">
        <w:rPr>
          <w:lang w:val="en-US"/>
        </w:rPr>
        <w:t xml:space="preserve">eskipun penjualan </w:t>
      </w:r>
      <w:r w:rsidR="00A94407">
        <w:rPr>
          <w:lang w:val="en-US"/>
        </w:rPr>
        <w:t xml:space="preserve">online berkembang </w:t>
      </w:r>
      <w:r w:rsidR="00A94407" w:rsidRPr="00A94407">
        <w:rPr>
          <w:lang w:val="en-US"/>
        </w:rPr>
        <w:t>pesat dan mendapat perhatian luas</w:t>
      </w:r>
      <w:r w:rsidR="00A94407">
        <w:rPr>
          <w:lang w:val="en-US"/>
        </w:rPr>
        <w:t xml:space="preserve"> dari masyarakat</w:t>
      </w:r>
      <w:r w:rsidR="00A94407" w:rsidRPr="00A94407">
        <w:rPr>
          <w:lang w:val="en-US"/>
        </w:rPr>
        <w:t xml:space="preserve">, hanya ada sedikit dampak </w:t>
      </w:r>
      <w:r w:rsidR="00187D22">
        <w:rPr>
          <w:lang w:val="en-US"/>
        </w:rPr>
        <w:t xml:space="preserve">positif </w:t>
      </w:r>
      <w:r w:rsidR="00A94407">
        <w:rPr>
          <w:lang w:val="en-US"/>
        </w:rPr>
        <w:t xml:space="preserve">yang ditemukan pada </w:t>
      </w:r>
      <w:r w:rsidR="00A94407" w:rsidRPr="00A94407">
        <w:rPr>
          <w:lang w:val="en-US"/>
        </w:rPr>
        <w:t xml:space="preserve">pemungutan pajak penjualan </w:t>
      </w:r>
      <w:r w:rsidR="00A94407">
        <w:rPr>
          <w:lang w:val="en-US"/>
        </w:rPr>
        <w:t xml:space="preserve">online </w:t>
      </w:r>
      <w:r w:rsidR="00A94407" w:rsidRPr="00A94407">
        <w:rPr>
          <w:lang w:val="en-US"/>
        </w:rPr>
        <w:t>dan penggunaan</w:t>
      </w:r>
      <w:r w:rsidR="00187D22">
        <w:rPr>
          <w:lang w:val="en-US"/>
        </w:rPr>
        <w:t>nya</w:t>
      </w:r>
      <w:r w:rsidR="00A94407" w:rsidRPr="00A94407">
        <w:rPr>
          <w:lang w:val="en-US"/>
        </w:rPr>
        <w:t xml:space="preserve"> </w:t>
      </w:r>
      <w:r w:rsidR="00A94407">
        <w:rPr>
          <w:lang w:val="en-US"/>
        </w:rPr>
        <w:t xml:space="preserve">oleh konsumen. </w:t>
      </w:r>
      <w:r w:rsidR="0082752C">
        <w:rPr>
          <w:lang w:val="en-US"/>
        </w:rPr>
        <w:t xml:space="preserve">Dan temuan ini </w:t>
      </w:r>
      <w:r w:rsidR="00D17F6B">
        <w:rPr>
          <w:lang w:val="en-US"/>
        </w:rPr>
        <w:t xml:space="preserve">menjelaskan tentang </w:t>
      </w:r>
      <w:r w:rsidR="0082752C">
        <w:rPr>
          <w:lang w:val="en-US"/>
        </w:rPr>
        <w:t xml:space="preserve">variabel e-tax </w:t>
      </w:r>
      <w:r w:rsidR="00D17F6B">
        <w:rPr>
          <w:lang w:val="en-US"/>
        </w:rPr>
        <w:t xml:space="preserve">bukan </w:t>
      </w:r>
      <w:r w:rsidR="0082752C">
        <w:rPr>
          <w:lang w:val="en-US"/>
        </w:rPr>
        <w:t xml:space="preserve">mediasi </w:t>
      </w:r>
      <w:r w:rsidR="00D17F6B">
        <w:rPr>
          <w:lang w:val="en-US"/>
        </w:rPr>
        <w:t xml:space="preserve">yang baik dari </w:t>
      </w:r>
      <w:r w:rsidR="0082752C">
        <w:rPr>
          <w:lang w:val="en-US"/>
        </w:rPr>
        <w:t xml:space="preserve">hubungan perilaku belanja dan transaksi online </w:t>
      </w:r>
      <w:r w:rsidR="00D17F6B">
        <w:rPr>
          <w:lang w:val="en-US"/>
        </w:rPr>
        <w:t xml:space="preserve">karena </w:t>
      </w:r>
      <w:r w:rsidR="0082752C">
        <w:rPr>
          <w:lang w:val="en-US"/>
        </w:rPr>
        <w:t xml:space="preserve">menunjukkan nilai yang sangat kecil dan tidak berpengaruh secara langsung dari hubungan ini. Pemerintah </w:t>
      </w:r>
      <w:r w:rsidR="009D207B">
        <w:rPr>
          <w:lang w:val="en-US"/>
        </w:rPr>
        <w:t xml:space="preserve">Indonesia </w:t>
      </w:r>
      <w:r w:rsidR="0082752C">
        <w:rPr>
          <w:lang w:val="en-US"/>
        </w:rPr>
        <w:t xml:space="preserve">perlu untuk memikirkan kebijakan alternatif dalam </w:t>
      </w:r>
      <w:r w:rsidR="00991DE7">
        <w:rPr>
          <w:lang w:val="en-US"/>
        </w:rPr>
        <w:t xml:space="preserve">menetapkan </w:t>
      </w:r>
      <w:r w:rsidR="0082752C">
        <w:rPr>
          <w:lang w:val="en-US"/>
        </w:rPr>
        <w:t xml:space="preserve">e-tax pada </w:t>
      </w:r>
      <w:r w:rsidR="00DC1C49">
        <w:rPr>
          <w:lang w:val="en-US"/>
        </w:rPr>
        <w:t xml:space="preserve">platform aplikasi </w:t>
      </w:r>
      <w:r w:rsidR="0082752C">
        <w:rPr>
          <w:lang w:val="en-US"/>
        </w:rPr>
        <w:t>transaksi online</w:t>
      </w:r>
      <w:r w:rsidR="002F2F8F">
        <w:rPr>
          <w:lang w:val="en-US"/>
        </w:rPr>
        <w:t xml:space="preserve"> yang telah beredar selama ini</w:t>
      </w:r>
      <w:r w:rsidR="00BA08A8">
        <w:rPr>
          <w:lang w:val="en-US"/>
        </w:rPr>
        <w:t xml:space="preserve"> di kalangan masyarakat</w:t>
      </w:r>
      <w:r w:rsidR="0082752C">
        <w:rPr>
          <w:lang w:val="en-US"/>
        </w:rPr>
        <w:t>.</w:t>
      </w:r>
    </w:p>
    <w:p w14:paraId="7AB31A48" w14:textId="690CE621" w:rsidR="00420BDA" w:rsidRDefault="00420BDA" w:rsidP="00160CD3">
      <w:pPr>
        <w:pStyle w:val="Heading2"/>
        <w:rPr>
          <w:lang w:val="en-US"/>
        </w:rPr>
      </w:pPr>
      <w:r>
        <w:rPr>
          <w:lang w:val="en-US"/>
        </w:rPr>
        <w:lastRenderedPageBreak/>
        <w:t>5.2. Implikasi Praktis</w:t>
      </w:r>
    </w:p>
    <w:p w14:paraId="2EE5721B" w14:textId="7879C2FC" w:rsidR="00D540CA" w:rsidRDefault="00307DA7" w:rsidP="00D540CA">
      <w:pPr>
        <w:rPr>
          <w:lang w:val="en-US"/>
        </w:rPr>
      </w:pPr>
      <w:r>
        <w:rPr>
          <w:lang w:val="en-US"/>
        </w:rPr>
        <w:t xml:space="preserve">Kontribusi pada penelitian diharapkan dapat membantu para akademisi, manajer dan pemilik toko online, serta pemerintah dalam </w:t>
      </w:r>
      <w:r w:rsidR="003C72D7">
        <w:rPr>
          <w:lang w:val="en-US"/>
        </w:rPr>
        <w:t>menetapk</w:t>
      </w:r>
      <w:r w:rsidR="00871FC3">
        <w:rPr>
          <w:lang w:val="en-US"/>
        </w:rPr>
        <w:t>an</w:t>
      </w:r>
      <w:r w:rsidR="003C72D7">
        <w:rPr>
          <w:lang w:val="en-US"/>
        </w:rPr>
        <w:t xml:space="preserve"> langkah strategis untuk mendukung </w:t>
      </w:r>
      <w:r w:rsidR="00E15FE4">
        <w:rPr>
          <w:lang w:val="en-US"/>
        </w:rPr>
        <w:t xml:space="preserve">platform </w:t>
      </w:r>
      <w:r w:rsidR="00167F7B">
        <w:rPr>
          <w:lang w:val="en-US"/>
        </w:rPr>
        <w:t xml:space="preserve">belanja dan </w:t>
      </w:r>
      <w:r w:rsidR="008B4CB0">
        <w:rPr>
          <w:lang w:val="en-US"/>
        </w:rPr>
        <w:t xml:space="preserve">transaksi </w:t>
      </w:r>
      <w:r w:rsidR="00E15FE4">
        <w:rPr>
          <w:lang w:val="en-US"/>
        </w:rPr>
        <w:t>online.</w:t>
      </w:r>
      <w:r w:rsidR="000E7C65">
        <w:rPr>
          <w:lang w:val="en-US"/>
        </w:rPr>
        <w:t xml:space="preserve"> Pertama, trend belanja online dapat mempengaruhi keputusan transaksi online</w:t>
      </w:r>
      <w:r w:rsidR="00D02283">
        <w:rPr>
          <w:lang w:val="en-US"/>
        </w:rPr>
        <w:t xml:space="preserve"> dan</w:t>
      </w:r>
      <w:r w:rsidR="000E7C65">
        <w:rPr>
          <w:lang w:val="en-US"/>
        </w:rPr>
        <w:t xml:space="preserve"> </w:t>
      </w:r>
      <w:r w:rsidR="00F02637">
        <w:rPr>
          <w:lang w:val="en-US"/>
        </w:rPr>
        <w:t xml:space="preserve">kontribusi trend terlihat </w:t>
      </w:r>
      <w:r w:rsidR="008B4CB0">
        <w:rPr>
          <w:lang w:val="en-US"/>
        </w:rPr>
        <w:t xml:space="preserve">pada </w:t>
      </w:r>
      <w:r w:rsidR="00F02637">
        <w:rPr>
          <w:lang w:val="en-US"/>
        </w:rPr>
        <w:t xml:space="preserve">kualitas produk, informasi tentang produk, pilihan produk beragam </w:t>
      </w:r>
      <w:r w:rsidR="007639B7">
        <w:rPr>
          <w:lang w:val="en-US"/>
        </w:rPr>
        <w:t xml:space="preserve">yang </w:t>
      </w:r>
      <w:r w:rsidR="00F02637">
        <w:rPr>
          <w:lang w:val="en-US"/>
        </w:rPr>
        <w:t xml:space="preserve">sesuai </w:t>
      </w:r>
      <w:r w:rsidR="007639B7">
        <w:rPr>
          <w:lang w:val="en-US"/>
        </w:rPr>
        <w:t xml:space="preserve">dengan </w:t>
      </w:r>
      <w:r w:rsidR="00F02637">
        <w:rPr>
          <w:lang w:val="en-US"/>
        </w:rPr>
        <w:t>trend</w:t>
      </w:r>
      <w:r w:rsidR="007639B7">
        <w:rPr>
          <w:lang w:val="en-US"/>
        </w:rPr>
        <w:t xml:space="preserve"> pada masyarakat</w:t>
      </w:r>
      <w:r w:rsidR="00EE1D6D">
        <w:rPr>
          <w:lang w:val="en-US"/>
        </w:rPr>
        <w:t xml:space="preserve">. Kedua, </w:t>
      </w:r>
      <w:r w:rsidR="00512266">
        <w:rPr>
          <w:lang w:val="en-US"/>
        </w:rPr>
        <w:t xml:space="preserve">life style </w:t>
      </w:r>
      <w:r w:rsidR="00512266">
        <w:t>mempengaruhi secara positif terhadap transaksi online</w:t>
      </w:r>
      <w:r w:rsidR="000A55BC">
        <w:rPr>
          <w:lang w:val="en-US"/>
        </w:rPr>
        <w:t xml:space="preserve">. </w:t>
      </w:r>
      <w:r w:rsidR="00070643">
        <w:rPr>
          <w:lang w:val="en-US"/>
        </w:rPr>
        <w:t xml:space="preserve">Para konsumen online sangat menyukai aplikasi </w:t>
      </w:r>
      <w:r w:rsidR="000A55BC">
        <w:rPr>
          <w:lang w:val="en-US"/>
        </w:rPr>
        <w:t>transaksi online karena menarik</w:t>
      </w:r>
      <w:r w:rsidR="008B4CB0">
        <w:rPr>
          <w:lang w:val="en-US"/>
        </w:rPr>
        <w:t xml:space="preserve"> dan menawarkan informasi dan promo</w:t>
      </w:r>
      <w:r w:rsidR="00070643">
        <w:rPr>
          <w:lang w:val="en-US"/>
        </w:rPr>
        <w:t xml:space="preserve"> produk kebutuhan</w:t>
      </w:r>
      <w:r w:rsidR="000A55BC">
        <w:rPr>
          <w:lang w:val="en-US"/>
        </w:rPr>
        <w:t>, mendukung kegiatan social dan kebutuhan hidup sehari-hari mereka</w:t>
      </w:r>
      <w:r w:rsidR="008B4CB0">
        <w:rPr>
          <w:lang w:val="en-US"/>
        </w:rPr>
        <w:t xml:space="preserve">. </w:t>
      </w:r>
      <w:r w:rsidR="00903741">
        <w:rPr>
          <w:lang w:val="en-US"/>
        </w:rPr>
        <w:t xml:space="preserve">Ketiga, </w:t>
      </w:r>
      <w:r w:rsidR="009801F9">
        <w:rPr>
          <w:lang w:val="en-US"/>
        </w:rPr>
        <w:t>manajer dan pemilik tok</w:t>
      </w:r>
      <w:r w:rsidR="007639B7">
        <w:rPr>
          <w:lang w:val="en-US"/>
        </w:rPr>
        <w:t>o</w:t>
      </w:r>
      <w:r w:rsidR="009801F9">
        <w:rPr>
          <w:lang w:val="en-US"/>
        </w:rPr>
        <w:t xml:space="preserve"> online </w:t>
      </w:r>
      <w:r w:rsidR="007B0D13">
        <w:rPr>
          <w:lang w:val="en-US"/>
        </w:rPr>
        <w:t xml:space="preserve">perlu intuk memikirkan langkah </w:t>
      </w:r>
      <w:r w:rsidR="007639B7">
        <w:rPr>
          <w:lang w:val="en-US"/>
        </w:rPr>
        <w:t>dan strategi yang menarik untuk mendorong pertumbuhan dan perkem</w:t>
      </w:r>
      <w:r w:rsidR="00B76F75">
        <w:rPr>
          <w:lang w:val="en-US"/>
        </w:rPr>
        <w:t>ba</w:t>
      </w:r>
      <w:r w:rsidR="007639B7">
        <w:rPr>
          <w:lang w:val="en-US"/>
        </w:rPr>
        <w:t xml:space="preserve">ngan </w:t>
      </w:r>
      <w:r w:rsidR="00B76F75">
        <w:rPr>
          <w:lang w:val="en-US"/>
        </w:rPr>
        <w:t xml:space="preserve">toko online mereka melalui hasil penelitian ini. </w:t>
      </w:r>
      <w:r w:rsidR="00903741">
        <w:rPr>
          <w:lang w:val="en-US"/>
        </w:rPr>
        <w:t>Keempat, m</w:t>
      </w:r>
      <w:r w:rsidR="00297873">
        <w:rPr>
          <w:lang w:val="en-US"/>
        </w:rPr>
        <w:t xml:space="preserve">eskipun e-tax tidak sesuai dengan harapan </w:t>
      </w:r>
      <w:r w:rsidR="00301D6B">
        <w:rPr>
          <w:lang w:val="en-US"/>
        </w:rPr>
        <w:t xml:space="preserve">dalam penelitian ini, namun munculnya kesadaran dari pembeli online tentang </w:t>
      </w:r>
      <w:r w:rsidR="0005753F">
        <w:rPr>
          <w:lang w:val="en-US"/>
        </w:rPr>
        <w:t xml:space="preserve">keberadaan </w:t>
      </w:r>
      <w:r w:rsidR="00301D6B">
        <w:rPr>
          <w:lang w:val="en-US"/>
        </w:rPr>
        <w:t xml:space="preserve">e-tax </w:t>
      </w:r>
      <w:r w:rsidR="00DB7829">
        <w:rPr>
          <w:lang w:val="en-US"/>
        </w:rPr>
        <w:t xml:space="preserve">diharapkan </w:t>
      </w:r>
      <w:r w:rsidR="00301D6B">
        <w:rPr>
          <w:lang w:val="en-US"/>
        </w:rPr>
        <w:t xml:space="preserve">dapat mendorong dan memberikan landasan </w:t>
      </w:r>
      <w:r w:rsidR="00D33FC2">
        <w:rPr>
          <w:lang w:val="en-US"/>
        </w:rPr>
        <w:t xml:space="preserve">pada pemerintah untuk membuat alternatif kebijakan </w:t>
      </w:r>
      <w:r w:rsidR="00546E63">
        <w:rPr>
          <w:lang w:val="en-US"/>
        </w:rPr>
        <w:t xml:space="preserve">pajak penjualan elektronik </w:t>
      </w:r>
      <w:r w:rsidR="00D33FC2">
        <w:rPr>
          <w:lang w:val="en-US"/>
        </w:rPr>
        <w:t>yang sesuai</w:t>
      </w:r>
      <w:r w:rsidR="006F4F1D">
        <w:rPr>
          <w:lang w:val="en-US"/>
        </w:rPr>
        <w:t xml:space="preserve"> </w:t>
      </w:r>
      <w:r w:rsidR="00815754">
        <w:rPr>
          <w:lang w:val="en-US"/>
        </w:rPr>
        <w:t>pada platform aplikasi belanja dan transaksi online.</w:t>
      </w:r>
    </w:p>
    <w:p w14:paraId="793D10F7" w14:textId="13F68530" w:rsidR="001045BD" w:rsidRDefault="00A769E9" w:rsidP="00A769E9">
      <w:pPr>
        <w:pStyle w:val="Heading2"/>
        <w:rPr>
          <w:lang w:val="en-US"/>
        </w:rPr>
      </w:pPr>
      <w:r>
        <w:rPr>
          <w:lang w:val="en-US"/>
        </w:rPr>
        <w:t xml:space="preserve">5.3. </w:t>
      </w:r>
      <w:r w:rsidR="00457883">
        <w:rPr>
          <w:lang w:val="en-US"/>
        </w:rPr>
        <w:t xml:space="preserve">Batasan dan </w:t>
      </w:r>
      <w:r>
        <w:rPr>
          <w:lang w:val="en-US"/>
        </w:rPr>
        <w:t>Kerangka Penelitian Masa Depan</w:t>
      </w:r>
    </w:p>
    <w:p w14:paraId="4D997CD3" w14:textId="5E6DCAA5" w:rsidR="00457883" w:rsidRDefault="00457883" w:rsidP="00D540CA">
      <w:pPr>
        <w:rPr>
          <w:lang w:val="en-US"/>
        </w:rPr>
      </w:pPr>
      <w:r>
        <w:rPr>
          <w:lang w:val="en-US"/>
        </w:rPr>
        <w:t xml:space="preserve">Setiap </w:t>
      </w:r>
      <w:r w:rsidRPr="00457883">
        <w:rPr>
          <w:lang w:val="en-US"/>
        </w:rPr>
        <w:t xml:space="preserve">penelitian </w:t>
      </w:r>
      <w:r>
        <w:rPr>
          <w:lang w:val="en-US"/>
        </w:rPr>
        <w:t xml:space="preserve">mempunyai </w:t>
      </w:r>
      <w:r w:rsidRPr="00457883">
        <w:rPr>
          <w:lang w:val="en-US"/>
        </w:rPr>
        <w:t>keterbatasan dan penelitian ini tidak terkecuali. Pertama</w:t>
      </w:r>
      <w:r>
        <w:rPr>
          <w:lang w:val="en-US"/>
        </w:rPr>
        <w:t xml:space="preserve">, penyelidikan dalam penelitian ini secara kontekstual dan spesifik meneliti tentang </w:t>
      </w:r>
      <w:r w:rsidR="00717E56">
        <w:rPr>
          <w:lang w:val="en-US"/>
        </w:rPr>
        <w:t xml:space="preserve">perilaku </w:t>
      </w:r>
      <w:r w:rsidR="00E14AC1">
        <w:rPr>
          <w:lang w:val="en-US"/>
        </w:rPr>
        <w:t xml:space="preserve">belanja konsumen dengan aplikasi transaksi online di Indonesia, Temuan ini mungkin tidak berlaku pada segmen pasar lain, </w:t>
      </w:r>
      <w:r w:rsidR="00CE543F">
        <w:rPr>
          <w:lang w:val="en-US"/>
        </w:rPr>
        <w:t xml:space="preserve">platform teknologi </w:t>
      </w:r>
      <w:r w:rsidR="00E14AC1">
        <w:rPr>
          <w:lang w:val="en-US"/>
        </w:rPr>
        <w:t xml:space="preserve">aplikasi yang berbeda dan lokasi yang berbeda. Sehingga, ada kemungkinan untuk mereplikasi studi ini pada tempat dan lokasi lain. </w:t>
      </w:r>
      <w:r w:rsidR="00042A69">
        <w:rPr>
          <w:lang w:val="en-US"/>
        </w:rPr>
        <w:t xml:space="preserve">Kedua, </w:t>
      </w:r>
      <w:r w:rsidR="00001B39">
        <w:rPr>
          <w:lang w:val="en-US"/>
        </w:rPr>
        <w:t>k</w:t>
      </w:r>
      <w:r w:rsidR="00630101">
        <w:rPr>
          <w:lang w:val="en-US"/>
        </w:rPr>
        <w:t xml:space="preserve">ontak langsung dengan subjek diabaikan dalam penelitian ini </w:t>
      </w:r>
      <w:r w:rsidR="00042A69">
        <w:rPr>
          <w:lang w:val="en-US"/>
        </w:rPr>
        <w:t>karena penyebaran survey dilakukan secara online, maka ada kemungkinan</w:t>
      </w:r>
      <w:r w:rsidR="00630101">
        <w:rPr>
          <w:lang w:val="en-US"/>
        </w:rPr>
        <w:t xml:space="preserve"> terjadi</w:t>
      </w:r>
      <w:r w:rsidR="00042A69">
        <w:rPr>
          <w:lang w:val="en-US"/>
        </w:rPr>
        <w:t xml:space="preserve"> kesalahan persepsi dan maksud dalam pengumpulan informasi.</w:t>
      </w:r>
      <w:r w:rsidR="00630101">
        <w:rPr>
          <w:lang w:val="en-US"/>
        </w:rPr>
        <w:t xml:space="preserve">kepada subjek. </w:t>
      </w:r>
    </w:p>
    <w:p w14:paraId="2051E01B" w14:textId="71C901F7" w:rsidR="00A769E9" w:rsidRPr="00512266" w:rsidRDefault="00EF3756" w:rsidP="00D540CA">
      <w:pPr>
        <w:rPr>
          <w:lang w:val="en-US"/>
        </w:rPr>
      </w:pPr>
      <w:r>
        <w:rPr>
          <w:lang w:val="en-US"/>
        </w:rPr>
        <w:t xml:space="preserve">Ada beberapa usulan </w:t>
      </w:r>
      <w:r w:rsidR="00AF5BA9">
        <w:rPr>
          <w:lang w:val="en-US"/>
        </w:rPr>
        <w:t xml:space="preserve">kerangka penelitian masa depan dari hasil penelitian ini, yaitu: Pertama, </w:t>
      </w:r>
      <w:r w:rsidR="00BE0B11">
        <w:rPr>
          <w:lang w:val="en-US"/>
        </w:rPr>
        <w:t xml:space="preserve">konstruksi awal kuisoner menjelaskan bahwa setiap pengguna aplikasi </w:t>
      </w:r>
      <w:r w:rsidR="008F0BEA">
        <w:rPr>
          <w:lang w:val="en-US"/>
        </w:rPr>
        <w:t xml:space="preserve">transaksi online </w:t>
      </w:r>
      <w:r w:rsidR="00BE0B11">
        <w:rPr>
          <w:lang w:val="en-US"/>
        </w:rPr>
        <w:t xml:space="preserve">memiliki </w:t>
      </w:r>
      <w:r w:rsidR="00C50DB4">
        <w:rPr>
          <w:lang w:val="en-US"/>
        </w:rPr>
        <w:t>latar belakang tertentu (umur, gender</w:t>
      </w:r>
      <w:r w:rsidR="005617EB">
        <w:rPr>
          <w:lang w:val="en-US"/>
        </w:rPr>
        <w:t xml:space="preserve">, level </w:t>
      </w:r>
      <w:r w:rsidR="00C50DB4">
        <w:rPr>
          <w:lang w:val="en-US"/>
        </w:rPr>
        <w:t>pekerjaan)</w:t>
      </w:r>
      <w:r w:rsidR="004C6B09">
        <w:rPr>
          <w:lang w:val="en-US"/>
        </w:rPr>
        <w:t xml:space="preserve">, </w:t>
      </w:r>
      <w:r w:rsidR="008070C9">
        <w:rPr>
          <w:lang w:val="en-US"/>
        </w:rPr>
        <w:t xml:space="preserve">tujuan penggunaan </w:t>
      </w:r>
      <w:r w:rsidR="00C50DB4">
        <w:rPr>
          <w:lang w:val="en-US"/>
        </w:rPr>
        <w:t>dan preferensi pribadi pada pilihan</w:t>
      </w:r>
      <w:r w:rsidR="005617EB">
        <w:rPr>
          <w:lang w:val="en-US"/>
        </w:rPr>
        <w:t>nya terhadap</w:t>
      </w:r>
      <w:r w:rsidR="00C50DB4">
        <w:rPr>
          <w:lang w:val="en-US"/>
        </w:rPr>
        <w:t xml:space="preserve"> aplikasi </w:t>
      </w:r>
      <w:r w:rsidR="008F0BEA">
        <w:rPr>
          <w:lang w:val="en-US"/>
        </w:rPr>
        <w:t>tesebut</w:t>
      </w:r>
      <w:r w:rsidR="001F0341">
        <w:rPr>
          <w:lang w:val="en-US"/>
        </w:rPr>
        <w:t xml:space="preserve">. Memeriksa lebih lanjut tentang </w:t>
      </w:r>
      <w:r w:rsidR="001F0341" w:rsidRPr="001F0341">
        <w:rPr>
          <w:lang w:val="en-US"/>
        </w:rPr>
        <w:t>karakteristik konsumen</w:t>
      </w:r>
      <w:r w:rsidR="004C6B09">
        <w:rPr>
          <w:lang w:val="en-US"/>
        </w:rPr>
        <w:t>, motivasi</w:t>
      </w:r>
      <w:r w:rsidR="00AA3648">
        <w:rPr>
          <w:lang w:val="en-US"/>
        </w:rPr>
        <w:t xml:space="preserve"> pengguna</w:t>
      </w:r>
      <w:r w:rsidR="004C6B09">
        <w:rPr>
          <w:lang w:val="en-US"/>
        </w:rPr>
        <w:t xml:space="preserve">, dan </w:t>
      </w:r>
      <w:r w:rsidR="001F0341">
        <w:rPr>
          <w:lang w:val="en-US"/>
        </w:rPr>
        <w:t xml:space="preserve">preferensi pribadi </w:t>
      </w:r>
      <w:r w:rsidR="001F0341" w:rsidRPr="001F0341">
        <w:rPr>
          <w:lang w:val="en-US"/>
        </w:rPr>
        <w:t xml:space="preserve">penting </w:t>
      </w:r>
      <w:r w:rsidR="006002D9">
        <w:rPr>
          <w:lang w:val="en-US"/>
        </w:rPr>
        <w:t xml:space="preserve">dalam </w:t>
      </w:r>
      <w:r w:rsidR="001F0341">
        <w:rPr>
          <w:lang w:val="en-US"/>
        </w:rPr>
        <w:t xml:space="preserve">mengetahui </w:t>
      </w:r>
      <w:r w:rsidR="005617EB">
        <w:rPr>
          <w:lang w:val="en-US"/>
        </w:rPr>
        <w:t xml:space="preserve">perilaku </w:t>
      </w:r>
      <w:r w:rsidR="001F0341" w:rsidRPr="001F0341">
        <w:rPr>
          <w:lang w:val="en-US"/>
        </w:rPr>
        <w:t>konsumen dan keputusan</w:t>
      </w:r>
      <w:r w:rsidR="006002D9">
        <w:rPr>
          <w:lang w:val="en-US"/>
        </w:rPr>
        <w:t>nya</w:t>
      </w:r>
      <w:r w:rsidR="001F0341" w:rsidRPr="001F0341">
        <w:rPr>
          <w:lang w:val="en-US"/>
        </w:rPr>
        <w:t xml:space="preserve"> </w:t>
      </w:r>
      <w:r w:rsidR="001F0341">
        <w:rPr>
          <w:lang w:val="en-US"/>
        </w:rPr>
        <w:t xml:space="preserve">melakukan </w:t>
      </w:r>
      <w:r w:rsidR="006002D9">
        <w:rPr>
          <w:lang w:val="en-US"/>
        </w:rPr>
        <w:t xml:space="preserve">transaksi </w:t>
      </w:r>
      <w:r w:rsidR="001F0341" w:rsidRPr="001F0341">
        <w:rPr>
          <w:lang w:val="en-US"/>
        </w:rPr>
        <w:t>online</w:t>
      </w:r>
      <w:r w:rsidR="001F0341">
        <w:rPr>
          <w:lang w:val="en-US"/>
        </w:rPr>
        <w:t>.</w:t>
      </w:r>
      <w:r w:rsidR="00AD0430">
        <w:rPr>
          <w:lang w:val="en-US"/>
        </w:rPr>
        <w:t xml:space="preserve"> </w:t>
      </w:r>
      <w:r w:rsidR="006002D9">
        <w:rPr>
          <w:lang w:val="en-US"/>
        </w:rPr>
        <w:t xml:space="preserve">Kedua, </w:t>
      </w:r>
      <w:r w:rsidR="00FF58B3">
        <w:rPr>
          <w:lang w:val="en-US"/>
        </w:rPr>
        <w:t xml:space="preserve">analisis lanjutan dari hubungan tren dan life style terhadap transaksi online dapat dikembangkan lebih jauh dengan memeriksa factor-faktor pendorongnya. Ketiga, </w:t>
      </w:r>
      <w:r w:rsidR="0005753F">
        <w:rPr>
          <w:lang w:val="en-US"/>
        </w:rPr>
        <w:t xml:space="preserve">Pembeli online mungkin mengakui keberadaan e-tax dalam aplikasi online, namun dampaknya </w:t>
      </w:r>
      <w:r w:rsidR="00AA3648">
        <w:rPr>
          <w:lang w:val="en-US"/>
        </w:rPr>
        <w:t xml:space="preserve">tidak signifikan pada keputusan </w:t>
      </w:r>
      <w:r w:rsidR="00AA3648">
        <w:rPr>
          <w:lang w:val="en-US"/>
        </w:rPr>
        <w:lastRenderedPageBreak/>
        <w:t xml:space="preserve">melakukan transaksi online. Perlu untuk mengkaji lebih mendalam melalui factor-faktor pendorongnya agar </w:t>
      </w:r>
      <w:r w:rsidR="002F6C02">
        <w:rPr>
          <w:lang w:val="en-US"/>
        </w:rPr>
        <w:t xml:space="preserve">tujuan dan pelaksanaan kebijakan e-tax ini dapat dimaknai dengan baik oleh </w:t>
      </w:r>
      <w:r w:rsidR="00110900">
        <w:rPr>
          <w:lang w:val="en-US"/>
        </w:rPr>
        <w:t>konsumen</w:t>
      </w:r>
      <w:r w:rsidR="00186BD1">
        <w:rPr>
          <w:lang w:val="en-US"/>
        </w:rPr>
        <w:t xml:space="preserve">, </w:t>
      </w:r>
      <w:r w:rsidR="00946768">
        <w:rPr>
          <w:lang w:val="en-US"/>
        </w:rPr>
        <w:t xml:space="preserve">pedagang online </w:t>
      </w:r>
      <w:r w:rsidR="00186BD1">
        <w:rPr>
          <w:lang w:val="en-US"/>
        </w:rPr>
        <w:t>dan pembuat kebijakan</w:t>
      </w:r>
      <w:r w:rsidR="002F6C02">
        <w:rPr>
          <w:lang w:val="en-US"/>
        </w:rPr>
        <w:t>.</w:t>
      </w:r>
    </w:p>
    <w:p w14:paraId="670B7CF5" w14:textId="53666BB7" w:rsidR="005B1E77" w:rsidRDefault="005B1E77" w:rsidP="005B1E77">
      <w:pPr>
        <w:pStyle w:val="Heading1"/>
        <w:rPr>
          <w:lang w:val="en-US"/>
        </w:rPr>
      </w:pPr>
      <w:r>
        <w:rPr>
          <w:lang w:val="en-US"/>
        </w:rPr>
        <w:t>6. Kesimpulan</w:t>
      </w:r>
    </w:p>
    <w:p w14:paraId="45589B94" w14:textId="77777777" w:rsidR="00051242" w:rsidRDefault="00BE376F" w:rsidP="00051242">
      <w:pPr>
        <w:rPr>
          <w:lang w:val="en-US"/>
        </w:rPr>
      </w:pPr>
      <w:r>
        <w:rPr>
          <w:lang w:val="en-US"/>
        </w:rPr>
        <w:t xml:space="preserve">Penelitian ini mengungkapkan pengaruh </w:t>
      </w:r>
      <w:r w:rsidR="00406C55">
        <w:rPr>
          <w:lang w:val="en-US"/>
        </w:rPr>
        <w:t xml:space="preserve">laten dari </w:t>
      </w:r>
      <w:r>
        <w:rPr>
          <w:lang w:val="en-US"/>
        </w:rPr>
        <w:t>tren</w:t>
      </w:r>
      <w:r w:rsidR="00406C55">
        <w:rPr>
          <w:lang w:val="en-US"/>
        </w:rPr>
        <w:t xml:space="preserve"> dan </w:t>
      </w:r>
      <w:r>
        <w:rPr>
          <w:lang w:val="en-US"/>
        </w:rPr>
        <w:t>gaya</w:t>
      </w:r>
      <w:r w:rsidR="00406C55">
        <w:rPr>
          <w:lang w:val="en-US"/>
        </w:rPr>
        <w:t xml:space="preserve"> hidup pada perilaku belanja konsumen melalui transaksi online. Meskipun hasil studi tidak berlaku pada price dispersion, namun bukti dalam projek ini dapat memberikan referensi bagi pedagang dimarket online untuk Menyusun strategi pemasaran dalam pasar online. Selain itu, temuan lain pada kesadaran yang muncul pada ketentuan e-tax yang berlaku pada plaform online, dapat membantu para pembuat kebijakan dalam menyusun alternatif pajak elekronik yang sesuai.</w:t>
      </w:r>
    </w:p>
    <w:p w14:paraId="55948FCB" w14:textId="0ACBBE85" w:rsidR="005B1E77" w:rsidRDefault="005B1E77" w:rsidP="00051242">
      <w:pPr>
        <w:pStyle w:val="Heading1"/>
        <w:rPr>
          <w:lang w:val="en-US"/>
        </w:rPr>
      </w:pPr>
      <w:r>
        <w:rPr>
          <w:lang w:val="en-US"/>
        </w:rPr>
        <w:t>7. Axpendix &amp; Scale Item</w:t>
      </w:r>
    </w:p>
    <w:tbl>
      <w:tblPr>
        <w:tblStyle w:val="TableGrid"/>
        <w:tblW w:w="889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662"/>
      </w:tblGrid>
      <w:tr w:rsidR="005B1E77" w:rsidRPr="0059320D" w14:paraId="6FC17521" w14:textId="77777777" w:rsidTr="009B1931">
        <w:tc>
          <w:tcPr>
            <w:tcW w:w="2235" w:type="dxa"/>
          </w:tcPr>
          <w:p w14:paraId="482E6367" w14:textId="77777777" w:rsidR="005B1E77" w:rsidRPr="0059320D" w:rsidRDefault="005B1E77" w:rsidP="003C5F4D">
            <w:pPr>
              <w:pStyle w:val="Heading1"/>
              <w:spacing w:before="0" w:after="0" w:line="240" w:lineRule="auto"/>
              <w:jc w:val="center"/>
              <w:rPr>
                <w:rFonts w:cs="Times New Roman"/>
                <w:b w:val="0"/>
                <w:sz w:val="18"/>
                <w:szCs w:val="18"/>
                <w:lang w:val="id-ID"/>
              </w:rPr>
            </w:pPr>
            <w:r w:rsidRPr="0059320D">
              <w:rPr>
                <w:rFonts w:cs="Times New Roman"/>
                <w:b w:val="0"/>
                <w:sz w:val="18"/>
                <w:szCs w:val="18"/>
                <w:lang w:val="id-ID"/>
              </w:rPr>
              <w:t>Items</w:t>
            </w:r>
          </w:p>
        </w:tc>
        <w:tc>
          <w:tcPr>
            <w:tcW w:w="6662" w:type="dxa"/>
          </w:tcPr>
          <w:p w14:paraId="36A8408F" w14:textId="77777777" w:rsidR="005B1E77" w:rsidRPr="0059320D" w:rsidRDefault="005B1E77" w:rsidP="003C5F4D">
            <w:pPr>
              <w:pStyle w:val="Heading1"/>
              <w:spacing w:before="0" w:after="0" w:line="240" w:lineRule="auto"/>
              <w:jc w:val="center"/>
              <w:rPr>
                <w:rFonts w:cs="Times New Roman"/>
                <w:b w:val="0"/>
                <w:sz w:val="18"/>
                <w:szCs w:val="18"/>
                <w:lang w:val="id-ID"/>
              </w:rPr>
            </w:pPr>
            <w:r w:rsidRPr="0059320D">
              <w:rPr>
                <w:rFonts w:cs="Times New Roman"/>
                <w:b w:val="0"/>
                <w:sz w:val="18"/>
                <w:szCs w:val="18"/>
                <w:lang w:val="id-ID"/>
              </w:rPr>
              <w:t>Pertanyaan (Skala Linkert)</w:t>
            </w:r>
          </w:p>
        </w:tc>
      </w:tr>
      <w:tr w:rsidR="009B1931" w:rsidRPr="0059320D" w14:paraId="65519000" w14:textId="77777777" w:rsidTr="00424C1E">
        <w:tc>
          <w:tcPr>
            <w:tcW w:w="8897" w:type="dxa"/>
            <w:gridSpan w:val="2"/>
          </w:tcPr>
          <w:p w14:paraId="75414DC6" w14:textId="4928BC4C" w:rsidR="009B1931" w:rsidRPr="009B1931" w:rsidRDefault="009B1931" w:rsidP="003C5F4D">
            <w:pPr>
              <w:pStyle w:val="Heading1"/>
              <w:spacing w:before="0" w:after="0" w:line="240" w:lineRule="auto"/>
              <w:rPr>
                <w:rFonts w:cs="Times New Roman"/>
                <w:sz w:val="18"/>
                <w:szCs w:val="18"/>
              </w:rPr>
            </w:pPr>
            <w:r w:rsidRPr="0059320D">
              <w:rPr>
                <w:rFonts w:cs="Times New Roman"/>
                <w:sz w:val="18"/>
                <w:szCs w:val="18"/>
              </w:rPr>
              <w:t>Online Shooping Trends</w:t>
            </w:r>
            <w:r w:rsidRPr="0059320D">
              <w:rPr>
                <w:rFonts w:cs="Times New Roman"/>
                <w:sz w:val="18"/>
                <w:szCs w:val="18"/>
                <w:lang w:val="id-ID"/>
              </w:rPr>
              <w:t xml:space="preserve"> </w:t>
            </w:r>
            <w:r>
              <w:rPr>
                <w:rFonts w:cs="Times New Roman"/>
                <w:sz w:val="18"/>
                <w:szCs w:val="18"/>
              </w:rPr>
              <w:t xml:space="preserve">- </w:t>
            </w:r>
            <w:r w:rsidRPr="0059320D">
              <w:rPr>
                <w:rFonts w:cs="Times New Roman"/>
                <w:b w:val="0"/>
                <w:color w:val="00B0F0"/>
                <w:sz w:val="18"/>
                <w:szCs w:val="18"/>
                <w:lang w:val="id-ID"/>
              </w:rPr>
              <w:t>Häubl</w:t>
            </w:r>
            <w:r w:rsidRPr="0059320D">
              <w:rPr>
                <w:rFonts w:cs="Times New Roman"/>
                <w:b w:val="0"/>
                <w:color w:val="00B0F0"/>
                <w:sz w:val="18"/>
                <w:szCs w:val="18"/>
              </w:rPr>
              <w:t xml:space="preserve"> &amp; Trifts (2000)</w:t>
            </w:r>
          </w:p>
        </w:tc>
      </w:tr>
      <w:tr w:rsidR="005B1E77" w:rsidRPr="0059320D" w14:paraId="190415FA" w14:textId="77777777" w:rsidTr="009B1931">
        <w:tc>
          <w:tcPr>
            <w:tcW w:w="2235" w:type="dxa"/>
          </w:tcPr>
          <w:p w14:paraId="050E3F92" w14:textId="402346AE" w:rsidR="005B1E77" w:rsidRPr="0059320D" w:rsidRDefault="00AA0E54" w:rsidP="003C5F4D">
            <w:pPr>
              <w:pStyle w:val="Heading1"/>
              <w:spacing w:before="0" w:after="0" w:line="240" w:lineRule="auto"/>
              <w:rPr>
                <w:rFonts w:cs="Times New Roman"/>
                <w:b w:val="0"/>
                <w:sz w:val="18"/>
                <w:szCs w:val="18"/>
              </w:rPr>
            </w:pPr>
            <w:r w:rsidRPr="0059320D">
              <w:rPr>
                <w:rFonts w:cs="Times New Roman"/>
                <w:b w:val="0"/>
                <w:sz w:val="18"/>
                <w:szCs w:val="18"/>
              </w:rPr>
              <w:t>OST 1</w:t>
            </w:r>
          </w:p>
        </w:tc>
        <w:tc>
          <w:tcPr>
            <w:tcW w:w="6662" w:type="dxa"/>
          </w:tcPr>
          <w:p w14:paraId="0EA98947" w14:textId="56041949" w:rsidR="005B1E77" w:rsidRPr="0059320D" w:rsidRDefault="00AA0E54" w:rsidP="003C5F4D">
            <w:pPr>
              <w:pStyle w:val="Heading1"/>
              <w:spacing w:before="0" w:after="0" w:line="240" w:lineRule="auto"/>
              <w:rPr>
                <w:rFonts w:cs="Times New Roman"/>
                <w:b w:val="0"/>
                <w:sz w:val="18"/>
                <w:szCs w:val="18"/>
              </w:rPr>
            </w:pPr>
            <w:r w:rsidRPr="0059320D">
              <w:rPr>
                <w:rFonts w:cs="Times New Roman"/>
                <w:b w:val="0"/>
                <w:sz w:val="18"/>
                <w:szCs w:val="18"/>
              </w:rPr>
              <w:t>Informasi produk iklan sanga</w:t>
            </w:r>
            <w:r w:rsidR="00D02283">
              <w:rPr>
                <w:rFonts w:cs="Times New Roman"/>
                <w:b w:val="0"/>
                <w:sz w:val="18"/>
                <w:szCs w:val="18"/>
              </w:rPr>
              <w:t>t</w:t>
            </w:r>
            <w:r w:rsidRPr="0059320D">
              <w:rPr>
                <w:rFonts w:cs="Times New Roman"/>
                <w:b w:val="0"/>
                <w:sz w:val="18"/>
                <w:szCs w:val="18"/>
              </w:rPr>
              <w:t xml:space="preserve"> menarik, akurat dan lengkap</w:t>
            </w:r>
          </w:p>
        </w:tc>
      </w:tr>
      <w:tr w:rsidR="005B1E77" w:rsidRPr="0059320D" w14:paraId="7D2C5FE9" w14:textId="77777777" w:rsidTr="009B1931">
        <w:tc>
          <w:tcPr>
            <w:tcW w:w="2235" w:type="dxa"/>
          </w:tcPr>
          <w:p w14:paraId="4CCBDF9A" w14:textId="7CA2C9CE" w:rsidR="005B1E77" w:rsidRPr="0059320D" w:rsidRDefault="00AA0E54" w:rsidP="003C5F4D">
            <w:pPr>
              <w:pStyle w:val="Heading1"/>
              <w:spacing w:before="0" w:after="0" w:line="240" w:lineRule="auto"/>
              <w:rPr>
                <w:rFonts w:cs="Times New Roman"/>
                <w:b w:val="0"/>
                <w:sz w:val="18"/>
                <w:szCs w:val="18"/>
                <w:lang w:val="id-ID"/>
              </w:rPr>
            </w:pPr>
            <w:r w:rsidRPr="0059320D">
              <w:rPr>
                <w:rFonts w:cs="Times New Roman"/>
                <w:b w:val="0"/>
                <w:sz w:val="18"/>
                <w:szCs w:val="18"/>
              </w:rPr>
              <w:t>OST</w:t>
            </w:r>
            <w:r w:rsidRPr="0059320D">
              <w:rPr>
                <w:rFonts w:cs="Times New Roman"/>
                <w:b w:val="0"/>
                <w:sz w:val="18"/>
                <w:szCs w:val="18"/>
                <w:lang w:val="id-ID"/>
              </w:rPr>
              <w:t xml:space="preserve"> </w:t>
            </w:r>
            <w:r w:rsidR="005B1E77" w:rsidRPr="0059320D">
              <w:rPr>
                <w:rFonts w:cs="Times New Roman"/>
                <w:b w:val="0"/>
                <w:sz w:val="18"/>
                <w:szCs w:val="18"/>
                <w:lang w:val="id-ID"/>
              </w:rPr>
              <w:t>2</w:t>
            </w:r>
          </w:p>
        </w:tc>
        <w:tc>
          <w:tcPr>
            <w:tcW w:w="6662" w:type="dxa"/>
          </w:tcPr>
          <w:p w14:paraId="444DF13C" w14:textId="6C5E6D15" w:rsidR="005B1E77" w:rsidRPr="0059320D" w:rsidRDefault="00B214F5" w:rsidP="003C5F4D">
            <w:pPr>
              <w:pStyle w:val="Heading1"/>
              <w:spacing w:before="0" w:after="0" w:line="240" w:lineRule="auto"/>
              <w:rPr>
                <w:rFonts w:cs="Times New Roman"/>
                <w:b w:val="0"/>
                <w:sz w:val="18"/>
                <w:szCs w:val="18"/>
              </w:rPr>
            </w:pPr>
            <w:r w:rsidRPr="0059320D">
              <w:rPr>
                <w:rFonts w:cs="Times New Roman"/>
                <w:b w:val="0"/>
                <w:sz w:val="18"/>
                <w:szCs w:val="18"/>
              </w:rPr>
              <w:t>Penawaran produk branded,dan menarik perhatian untuk belanja</w:t>
            </w:r>
          </w:p>
        </w:tc>
      </w:tr>
      <w:tr w:rsidR="005B1E77" w:rsidRPr="0059320D" w14:paraId="3D3EADE1" w14:textId="77777777" w:rsidTr="009B1931">
        <w:tc>
          <w:tcPr>
            <w:tcW w:w="2235" w:type="dxa"/>
          </w:tcPr>
          <w:p w14:paraId="2A687B09" w14:textId="54C83EA2" w:rsidR="005B1E77" w:rsidRPr="0059320D" w:rsidRDefault="00AA0E54" w:rsidP="003C5F4D">
            <w:pPr>
              <w:pStyle w:val="Heading1"/>
              <w:spacing w:before="0" w:after="0" w:line="240" w:lineRule="auto"/>
              <w:rPr>
                <w:rFonts w:cs="Times New Roman"/>
                <w:b w:val="0"/>
                <w:sz w:val="18"/>
                <w:szCs w:val="18"/>
                <w:lang w:val="id-ID"/>
              </w:rPr>
            </w:pPr>
            <w:r w:rsidRPr="0059320D">
              <w:rPr>
                <w:rFonts w:cs="Times New Roman"/>
                <w:b w:val="0"/>
                <w:sz w:val="18"/>
                <w:szCs w:val="18"/>
              </w:rPr>
              <w:t>OST</w:t>
            </w:r>
            <w:r w:rsidRPr="0059320D">
              <w:rPr>
                <w:rFonts w:cs="Times New Roman"/>
                <w:b w:val="0"/>
                <w:sz w:val="18"/>
                <w:szCs w:val="18"/>
                <w:lang w:val="id-ID"/>
              </w:rPr>
              <w:t xml:space="preserve"> </w:t>
            </w:r>
            <w:r w:rsidR="005B1E77" w:rsidRPr="0059320D">
              <w:rPr>
                <w:rFonts w:cs="Times New Roman"/>
                <w:b w:val="0"/>
                <w:sz w:val="18"/>
                <w:szCs w:val="18"/>
                <w:lang w:val="id-ID"/>
              </w:rPr>
              <w:t>3</w:t>
            </w:r>
          </w:p>
        </w:tc>
        <w:tc>
          <w:tcPr>
            <w:tcW w:w="6662" w:type="dxa"/>
          </w:tcPr>
          <w:p w14:paraId="0544D8D2" w14:textId="40D96BF3" w:rsidR="005B1E77" w:rsidRPr="0059320D" w:rsidRDefault="00B214F5" w:rsidP="003C5F4D">
            <w:pPr>
              <w:pStyle w:val="Heading1"/>
              <w:spacing w:before="0" w:after="0" w:line="240" w:lineRule="auto"/>
              <w:rPr>
                <w:rFonts w:cs="Times New Roman"/>
                <w:b w:val="0"/>
                <w:sz w:val="18"/>
                <w:szCs w:val="18"/>
              </w:rPr>
            </w:pPr>
            <w:r w:rsidRPr="0059320D">
              <w:rPr>
                <w:rFonts w:cs="Times New Roman"/>
                <w:b w:val="0"/>
                <w:sz w:val="18"/>
                <w:szCs w:val="18"/>
              </w:rPr>
              <w:t>Produk yang ditawarkan selalu fashionable, dan trend</w:t>
            </w:r>
          </w:p>
        </w:tc>
      </w:tr>
      <w:tr w:rsidR="005B1E77" w:rsidRPr="0059320D" w14:paraId="6021D9CD" w14:textId="77777777" w:rsidTr="009B1931">
        <w:tc>
          <w:tcPr>
            <w:tcW w:w="2235" w:type="dxa"/>
          </w:tcPr>
          <w:p w14:paraId="28A1766B" w14:textId="0CB969FA" w:rsidR="005B1E77" w:rsidRPr="0059320D" w:rsidRDefault="00AA0E54" w:rsidP="003C5F4D">
            <w:pPr>
              <w:pStyle w:val="Heading1"/>
              <w:spacing w:before="0" w:after="0" w:line="240" w:lineRule="auto"/>
              <w:rPr>
                <w:rFonts w:cs="Times New Roman"/>
                <w:b w:val="0"/>
                <w:sz w:val="18"/>
                <w:szCs w:val="18"/>
              </w:rPr>
            </w:pPr>
            <w:r w:rsidRPr="0059320D">
              <w:rPr>
                <w:rFonts w:cs="Times New Roman"/>
                <w:b w:val="0"/>
                <w:sz w:val="18"/>
                <w:szCs w:val="18"/>
              </w:rPr>
              <w:t xml:space="preserve">OST </w:t>
            </w:r>
            <w:r w:rsidR="005B1E77" w:rsidRPr="0059320D">
              <w:rPr>
                <w:rFonts w:cs="Times New Roman"/>
                <w:b w:val="0"/>
                <w:sz w:val="18"/>
                <w:szCs w:val="18"/>
              </w:rPr>
              <w:t>4</w:t>
            </w:r>
          </w:p>
        </w:tc>
        <w:tc>
          <w:tcPr>
            <w:tcW w:w="6662" w:type="dxa"/>
          </w:tcPr>
          <w:p w14:paraId="5548AD01" w14:textId="5BA58C5A" w:rsidR="005B1E77" w:rsidRPr="0059320D" w:rsidRDefault="0052308A" w:rsidP="003C5F4D">
            <w:pPr>
              <w:pStyle w:val="Heading1"/>
              <w:spacing w:before="0" w:after="0" w:line="240" w:lineRule="auto"/>
              <w:rPr>
                <w:rFonts w:cs="Times New Roman"/>
                <w:b w:val="0"/>
                <w:sz w:val="18"/>
                <w:szCs w:val="18"/>
              </w:rPr>
            </w:pPr>
            <w:r w:rsidRPr="0059320D">
              <w:rPr>
                <w:rFonts w:cs="Times New Roman"/>
                <w:b w:val="0"/>
                <w:sz w:val="18"/>
                <w:szCs w:val="18"/>
              </w:rPr>
              <w:t xml:space="preserve">Kualitas barang yang ditawarkan </w:t>
            </w:r>
            <w:r w:rsidR="00051C0F" w:rsidRPr="0059320D">
              <w:rPr>
                <w:rFonts w:cs="Times New Roman"/>
                <w:b w:val="0"/>
                <w:sz w:val="18"/>
                <w:szCs w:val="18"/>
              </w:rPr>
              <w:t xml:space="preserve">sangat </w:t>
            </w:r>
            <w:r w:rsidRPr="0059320D">
              <w:rPr>
                <w:rFonts w:cs="Times New Roman"/>
                <w:b w:val="0"/>
                <w:sz w:val="18"/>
                <w:szCs w:val="18"/>
              </w:rPr>
              <w:t>baik dan terbaru</w:t>
            </w:r>
          </w:p>
        </w:tc>
      </w:tr>
      <w:tr w:rsidR="009B1931" w:rsidRPr="0059320D" w14:paraId="30457F90" w14:textId="77777777" w:rsidTr="00DA52EF">
        <w:tc>
          <w:tcPr>
            <w:tcW w:w="8897" w:type="dxa"/>
            <w:gridSpan w:val="2"/>
          </w:tcPr>
          <w:p w14:paraId="50BE5165" w14:textId="1C40F54D" w:rsidR="009B1931" w:rsidRPr="009B1931" w:rsidRDefault="009B1931" w:rsidP="003C5F4D">
            <w:pPr>
              <w:pStyle w:val="Heading1"/>
              <w:spacing w:before="0" w:after="0" w:line="240" w:lineRule="auto"/>
              <w:rPr>
                <w:rFonts w:cs="Times New Roman"/>
                <w:sz w:val="18"/>
                <w:szCs w:val="18"/>
              </w:rPr>
            </w:pPr>
            <w:r w:rsidRPr="0059320D">
              <w:rPr>
                <w:rFonts w:cs="Times New Roman"/>
                <w:sz w:val="18"/>
                <w:szCs w:val="18"/>
              </w:rPr>
              <w:t>Gaya Hidup</w:t>
            </w:r>
            <w:r w:rsidRPr="0059320D">
              <w:rPr>
                <w:rFonts w:cs="Times New Roman"/>
                <w:sz w:val="18"/>
                <w:szCs w:val="18"/>
                <w:lang w:val="id-ID"/>
              </w:rPr>
              <w:t xml:space="preserve"> </w:t>
            </w:r>
            <w:r>
              <w:rPr>
                <w:rFonts w:cs="Times New Roman"/>
                <w:sz w:val="18"/>
                <w:szCs w:val="18"/>
              </w:rPr>
              <w:t xml:space="preserve">- </w:t>
            </w:r>
            <w:r w:rsidR="001E0F89" w:rsidRPr="001E0F89">
              <w:rPr>
                <w:rFonts w:cs="Times New Roman"/>
                <w:b w:val="0"/>
                <w:color w:val="00B0F0"/>
                <w:sz w:val="18"/>
                <w:szCs w:val="18"/>
              </w:rPr>
              <w:t>Swinyard &amp; Smith (2003)</w:t>
            </w:r>
          </w:p>
        </w:tc>
      </w:tr>
      <w:tr w:rsidR="005B1E77" w:rsidRPr="0059320D" w14:paraId="26B6A6F2" w14:textId="77777777" w:rsidTr="009B1931">
        <w:tc>
          <w:tcPr>
            <w:tcW w:w="2235" w:type="dxa"/>
          </w:tcPr>
          <w:p w14:paraId="753B720E" w14:textId="2A5C1A6A" w:rsidR="005B1E77" w:rsidRPr="0059320D" w:rsidRDefault="004D5DB8" w:rsidP="003C5F4D">
            <w:pPr>
              <w:pStyle w:val="Heading1"/>
              <w:spacing w:before="0" w:after="0" w:line="240" w:lineRule="auto"/>
              <w:rPr>
                <w:rFonts w:cs="Times New Roman"/>
                <w:b w:val="0"/>
                <w:sz w:val="18"/>
                <w:szCs w:val="18"/>
                <w:lang w:val="id-ID"/>
              </w:rPr>
            </w:pPr>
            <w:r w:rsidRPr="0059320D">
              <w:rPr>
                <w:rFonts w:cs="Times New Roman"/>
                <w:b w:val="0"/>
                <w:sz w:val="18"/>
                <w:szCs w:val="18"/>
              </w:rPr>
              <w:t>GH</w:t>
            </w:r>
            <w:r w:rsidR="005B1E77" w:rsidRPr="0059320D">
              <w:rPr>
                <w:rFonts w:cs="Times New Roman"/>
                <w:b w:val="0"/>
                <w:sz w:val="18"/>
                <w:szCs w:val="18"/>
                <w:lang w:val="id-ID"/>
              </w:rPr>
              <w:t xml:space="preserve"> 1</w:t>
            </w:r>
          </w:p>
        </w:tc>
        <w:tc>
          <w:tcPr>
            <w:tcW w:w="6662" w:type="dxa"/>
          </w:tcPr>
          <w:p w14:paraId="04936C84" w14:textId="2B59AF01" w:rsidR="005B1E77" w:rsidRPr="0059320D" w:rsidRDefault="00ED1133" w:rsidP="003C5F4D">
            <w:pPr>
              <w:pStyle w:val="Heading1"/>
              <w:spacing w:before="0" w:after="0" w:line="240" w:lineRule="auto"/>
              <w:rPr>
                <w:rFonts w:cs="Times New Roman"/>
                <w:b w:val="0"/>
                <w:sz w:val="18"/>
                <w:szCs w:val="18"/>
              </w:rPr>
            </w:pPr>
            <w:r w:rsidRPr="0059320D">
              <w:rPr>
                <w:rFonts w:cs="Times New Roman"/>
                <w:b w:val="0"/>
                <w:sz w:val="18"/>
                <w:szCs w:val="18"/>
              </w:rPr>
              <w:t>TO berkaitan erat dengan aktivitas harian pengguna</w:t>
            </w:r>
            <w:r w:rsidR="006335DE">
              <w:rPr>
                <w:rFonts w:cs="Times New Roman"/>
                <w:b w:val="0"/>
                <w:sz w:val="18"/>
                <w:szCs w:val="18"/>
              </w:rPr>
              <w:t xml:space="preserve"> (values)</w:t>
            </w:r>
          </w:p>
        </w:tc>
      </w:tr>
      <w:tr w:rsidR="005B1E77" w:rsidRPr="0059320D" w14:paraId="5921D424" w14:textId="77777777" w:rsidTr="009B1931">
        <w:tc>
          <w:tcPr>
            <w:tcW w:w="2235" w:type="dxa"/>
          </w:tcPr>
          <w:p w14:paraId="482F6516" w14:textId="21767879" w:rsidR="005B1E77" w:rsidRPr="0059320D" w:rsidRDefault="004D5DB8" w:rsidP="003C5F4D">
            <w:pPr>
              <w:pStyle w:val="Heading1"/>
              <w:spacing w:before="0" w:after="0" w:line="240" w:lineRule="auto"/>
              <w:rPr>
                <w:rFonts w:cs="Times New Roman"/>
                <w:b w:val="0"/>
                <w:sz w:val="18"/>
                <w:szCs w:val="18"/>
                <w:lang w:val="id-ID"/>
              </w:rPr>
            </w:pPr>
            <w:r w:rsidRPr="0059320D">
              <w:rPr>
                <w:rFonts w:cs="Times New Roman"/>
                <w:b w:val="0"/>
                <w:sz w:val="18"/>
                <w:szCs w:val="18"/>
              </w:rPr>
              <w:t>GH</w:t>
            </w:r>
            <w:r w:rsidR="005B1E77" w:rsidRPr="0059320D">
              <w:rPr>
                <w:rFonts w:cs="Times New Roman"/>
                <w:b w:val="0"/>
                <w:sz w:val="18"/>
                <w:szCs w:val="18"/>
                <w:lang w:val="id-ID"/>
              </w:rPr>
              <w:t xml:space="preserve"> 2</w:t>
            </w:r>
          </w:p>
        </w:tc>
        <w:tc>
          <w:tcPr>
            <w:tcW w:w="6662" w:type="dxa"/>
          </w:tcPr>
          <w:p w14:paraId="5D45C84B" w14:textId="33F0AE83" w:rsidR="005B1E77" w:rsidRPr="0059320D" w:rsidRDefault="00ED1133" w:rsidP="003C5F4D">
            <w:pPr>
              <w:pStyle w:val="Heading1"/>
              <w:spacing w:before="0" w:after="0" w:line="240" w:lineRule="auto"/>
              <w:rPr>
                <w:rFonts w:cs="Times New Roman"/>
                <w:b w:val="0"/>
                <w:sz w:val="18"/>
                <w:szCs w:val="18"/>
                <w:lang w:val="id-ID"/>
              </w:rPr>
            </w:pPr>
            <w:r w:rsidRPr="0059320D">
              <w:rPr>
                <w:rFonts w:cs="Times New Roman"/>
                <w:b w:val="0"/>
                <w:sz w:val="18"/>
                <w:szCs w:val="18"/>
              </w:rPr>
              <w:t xml:space="preserve">Saya suka </w:t>
            </w:r>
            <w:r w:rsidR="005007F2">
              <w:rPr>
                <w:rFonts w:cs="Times New Roman"/>
                <w:b w:val="0"/>
                <w:sz w:val="18"/>
                <w:szCs w:val="18"/>
              </w:rPr>
              <w:t xml:space="preserve">dengan </w:t>
            </w:r>
            <w:r w:rsidRPr="0059320D">
              <w:rPr>
                <w:rFonts w:cs="Times New Roman"/>
                <w:b w:val="0"/>
                <w:sz w:val="18"/>
                <w:szCs w:val="18"/>
              </w:rPr>
              <w:t>TO karena promo, diskon dan informasi yang baru</w:t>
            </w:r>
          </w:p>
        </w:tc>
      </w:tr>
      <w:tr w:rsidR="005B1E77" w:rsidRPr="0059320D" w14:paraId="17053003" w14:textId="77777777" w:rsidTr="009B1931">
        <w:tc>
          <w:tcPr>
            <w:tcW w:w="2235" w:type="dxa"/>
          </w:tcPr>
          <w:p w14:paraId="01D43C54" w14:textId="7D8354A9" w:rsidR="005B1E77" w:rsidRPr="0059320D" w:rsidRDefault="004D5DB8" w:rsidP="003C5F4D">
            <w:pPr>
              <w:pStyle w:val="Heading1"/>
              <w:spacing w:before="0" w:after="0" w:line="240" w:lineRule="auto"/>
              <w:rPr>
                <w:rFonts w:cs="Times New Roman"/>
                <w:b w:val="0"/>
                <w:sz w:val="18"/>
                <w:szCs w:val="18"/>
                <w:lang w:val="id-ID"/>
              </w:rPr>
            </w:pPr>
            <w:r w:rsidRPr="0059320D">
              <w:rPr>
                <w:rFonts w:cs="Times New Roman"/>
                <w:b w:val="0"/>
                <w:sz w:val="18"/>
                <w:szCs w:val="18"/>
              </w:rPr>
              <w:t>GH</w:t>
            </w:r>
            <w:r w:rsidR="005B1E77" w:rsidRPr="0059320D">
              <w:rPr>
                <w:rFonts w:cs="Times New Roman"/>
                <w:b w:val="0"/>
                <w:sz w:val="18"/>
                <w:szCs w:val="18"/>
                <w:lang w:val="id-ID"/>
              </w:rPr>
              <w:t xml:space="preserve"> 3</w:t>
            </w:r>
          </w:p>
        </w:tc>
        <w:tc>
          <w:tcPr>
            <w:tcW w:w="6662" w:type="dxa"/>
          </w:tcPr>
          <w:p w14:paraId="461B0E6C" w14:textId="2A9F50E4" w:rsidR="005B1E77" w:rsidRPr="0059320D" w:rsidRDefault="00ED1133" w:rsidP="003C5F4D">
            <w:pPr>
              <w:pStyle w:val="Heading1"/>
              <w:spacing w:before="0" w:after="0" w:line="240" w:lineRule="auto"/>
              <w:rPr>
                <w:rFonts w:cs="Times New Roman"/>
                <w:b w:val="0"/>
                <w:sz w:val="18"/>
                <w:szCs w:val="18"/>
                <w:lang w:val="id-ID"/>
              </w:rPr>
            </w:pPr>
            <w:r w:rsidRPr="0059320D">
              <w:rPr>
                <w:rFonts w:cs="Times New Roman"/>
                <w:b w:val="0"/>
                <w:sz w:val="18"/>
                <w:szCs w:val="18"/>
              </w:rPr>
              <w:t>Aplikasi TO sangat menarik untuk digunakan setiap hari</w:t>
            </w:r>
          </w:p>
        </w:tc>
      </w:tr>
      <w:tr w:rsidR="005B1E77" w:rsidRPr="0059320D" w14:paraId="7206793A" w14:textId="77777777" w:rsidTr="009B1931">
        <w:tc>
          <w:tcPr>
            <w:tcW w:w="2235" w:type="dxa"/>
          </w:tcPr>
          <w:p w14:paraId="3D0FA75A" w14:textId="0BF6DF17" w:rsidR="005B1E77" w:rsidRPr="0059320D" w:rsidRDefault="004D5DB8" w:rsidP="003C5F4D">
            <w:pPr>
              <w:pStyle w:val="Heading1"/>
              <w:spacing w:before="0" w:after="0" w:line="240" w:lineRule="auto"/>
              <w:rPr>
                <w:rFonts w:cs="Times New Roman"/>
                <w:b w:val="0"/>
                <w:sz w:val="18"/>
                <w:szCs w:val="18"/>
              </w:rPr>
            </w:pPr>
            <w:r w:rsidRPr="0059320D">
              <w:rPr>
                <w:rFonts w:cs="Times New Roman"/>
                <w:b w:val="0"/>
                <w:sz w:val="18"/>
                <w:szCs w:val="18"/>
              </w:rPr>
              <w:t>GH</w:t>
            </w:r>
            <w:r w:rsidR="005B1E77" w:rsidRPr="0059320D">
              <w:rPr>
                <w:rFonts w:cs="Times New Roman"/>
                <w:b w:val="0"/>
                <w:sz w:val="18"/>
                <w:szCs w:val="18"/>
              </w:rPr>
              <w:t xml:space="preserve"> 4</w:t>
            </w:r>
          </w:p>
        </w:tc>
        <w:tc>
          <w:tcPr>
            <w:tcW w:w="6662" w:type="dxa"/>
          </w:tcPr>
          <w:p w14:paraId="1C93ED62" w14:textId="26A2EBF6" w:rsidR="005B1E77" w:rsidRPr="0059320D" w:rsidRDefault="00ED1133" w:rsidP="003C5F4D">
            <w:pPr>
              <w:pStyle w:val="Heading1"/>
              <w:spacing w:before="0" w:after="0" w:line="240" w:lineRule="auto"/>
              <w:rPr>
                <w:rFonts w:cs="Times New Roman"/>
                <w:b w:val="0"/>
                <w:sz w:val="18"/>
                <w:szCs w:val="18"/>
              </w:rPr>
            </w:pPr>
            <w:r w:rsidRPr="0059320D">
              <w:rPr>
                <w:rFonts w:cs="Times New Roman"/>
                <w:b w:val="0"/>
                <w:sz w:val="18"/>
                <w:szCs w:val="18"/>
              </w:rPr>
              <w:t>Membantu kehidupan sosial pengguna</w:t>
            </w:r>
            <w:r w:rsidR="006335DE">
              <w:rPr>
                <w:rFonts w:cs="Times New Roman"/>
                <w:b w:val="0"/>
                <w:sz w:val="18"/>
                <w:szCs w:val="18"/>
              </w:rPr>
              <w:t xml:space="preserve"> (</w:t>
            </w:r>
            <w:r w:rsidR="006335DE" w:rsidRPr="006335DE">
              <w:rPr>
                <w:rFonts w:cs="Times New Roman"/>
                <w:b w:val="0"/>
                <w:sz w:val="18"/>
                <w:szCs w:val="18"/>
              </w:rPr>
              <w:t>social activities</w:t>
            </w:r>
            <w:r w:rsidR="006335DE">
              <w:rPr>
                <w:rFonts w:cs="Times New Roman"/>
                <w:b w:val="0"/>
                <w:sz w:val="18"/>
                <w:szCs w:val="18"/>
              </w:rPr>
              <w:t>)</w:t>
            </w:r>
          </w:p>
        </w:tc>
      </w:tr>
      <w:tr w:rsidR="00ED2F4A" w:rsidRPr="0059320D" w14:paraId="37E13088" w14:textId="77777777" w:rsidTr="000929F9">
        <w:tc>
          <w:tcPr>
            <w:tcW w:w="8897" w:type="dxa"/>
            <w:gridSpan w:val="2"/>
          </w:tcPr>
          <w:p w14:paraId="492BFEF7" w14:textId="270E34C1" w:rsidR="00ED2F4A" w:rsidRPr="00ED2F4A" w:rsidRDefault="00ED2F4A" w:rsidP="003C5F4D">
            <w:pPr>
              <w:pStyle w:val="Heading1"/>
              <w:spacing w:before="0" w:after="0" w:line="240" w:lineRule="auto"/>
              <w:rPr>
                <w:rFonts w:cs="Times New Roman"/>
                <w:bCs w:val="0"/>
                <w:sz w:val="18"/>
                <w:szCs w:val="18"/>
              </w:rPr>
            </w:pPr>
            <w:r w:rsidRPr="0059320D">
              <w:rPr>
                <w:rFonts w:cs="Times New Roman"/>
                <w:bCs w:val="0"/>
                <w:sz w:val="18"/>
                <w:szCs w:val="18"/>
              </w:rPr>
              <w:t>Price Dispersion</w:t>
            </w:r>
            <w:r w:rsidRPr="0059320D">
              <w:rPr>
                <w:rFonts w:cs="Times New Roman"/>
                <w:bCs w:val="0"/>
                <w:sz w:val="18"/>
                <w:szCs w:val="18"/>
                <w:lang w:val="id-ID"/>
              </w:rPr>
              <w:t xml:space="preserve">) </w:t>
            </w:r>
            <w:r>
              <w:rPr>
                <w:rFonts w:cs="Times New Roman"/>
                <w:bCs w:val="0"/>
                <w:sz w:val="18"/>
                <w:szCs w:val="18"/>
              </w:rPr>
              <w:t xml:space="preserve">- </w:t>
            </w:r>
            <w:r w:rsidRPr="0059320D">
              <w:rPr>
                <w:rFonts w:cs="Times New Roman"/>
                <w:b w:val="0"/>
                <w:color w:val="00B0F0"/>
                <w:sz w:val="18"/>
                <w:szCs w:val="18"/>
              </w:rPr>
              <w:t>Pan, et al (2004</w:t>
            </w:r>
            <w:r w:rsidRPr="0059320D">
              <w:rPr>
                <w:rFonts w:cs="Times New Roman"/>
                <w:b w:val="0"/>
                <w:sz w:val="18"/>
                <w:szCs w:val="18"/>
              </w:rPr>
              <w:t>)</w:t>
            </w:r>
          </w:p>
        </w:tc>
      </w:tr>
      <w:tr w:rsidR="005B1E77" w:rsidRPr="0059320D" w14:paraId="35453088" w14:textId="77777777" w:rsidTr="009B1931">
        <w:tc>
          <w:tcPr>
            <w:tcW w:w="2235" w:type="dxa"/>
          </w:tcPr>
          <w:p w14:paraId="550FB356" w14:textId="37381DBC" w:rsidR="005B1E77" w:rsidRPr="0059320D" w:rsidRDefault="00953F89" w:rsidP="003C5F4D">
            <w:pPr>
              <w:pStyle w:val="Heading1"/>
              <w:spacing w:before="0" w:after="0" w:line="240" w:lineRule="auto"/>
              <w:rPr>
                <w:rFonts w:cs="Times New Roman"/>
                <w:b w:val="0"/>
                <w:sz w:val="18"/>
                <w:szCs w:val="18"/>
                <w:lang w:val="id-ID"/>
              </w:rPr>
            </w:pPr>
            <w:r w:rsidRPr="0059320D">
              <w:rPr>
                <w:rFonts w:cs="Times New Roman"/>
                <w:b w:val="0"/>
                <w:sz w:val="18"/>
                <w:szCs w:val="18"/>
              </w:rPr>
              <w:t xml:space="preserve">PD </w:t>
            </w:r>
            <w:r w:rsidR="005B1E77" w:rsidRPr="0059320D">
              <w:rPr>
                <w:rFonts w:cs="Times New Roman"/>
                <w:b w:val="0"/>
                <w:sz w:val="18"/>
                <w:szCs w:val="18"/>
                <w:lang w:val="id-ID"/>
              </w:rPr>
              <w:t>1</w:t>
            </w:r>
          </w:p>
        </w:tc>
        <w:tc>
          <w:tcPr>
            <w:tcW w:w="6662" w:type="dxa"/>
          </w:tcPr>
          <w:p w14:paraId="565FD397" w14:textId="4DCE1CF2" w:rsidR="005B1E77" w:rsidRPr="0059320D" w:rsidRDefault="00DC19B4" w:rsidP="003C5F4D">
            <w:pPr>
              <w:pStyle w:val="Heading1"/>
              <w:spacing w:before="0" w:after="0" w:line="240" w:lineRule="auto"/>
              <w:rPr>
                <w:rFonts w:cs="Times New Roman"/>
                <w:b w:val="0"/>
                <w:sz w:val="18"/>
                <w:szCs w:val="18"/>
              </w:rPr>
            </w:pPr>
            <w:r w:rsidRPr="0059320D">
              <w:rPr>
                <w:rFonts w:cs="Times New Roman"/>
                <w:b w:val="0"/>
                <w:sz w:val="18"/>
                <w:szCs w:val="18"/>
              </w:rPr>
              <w:t>Strategi penetapan harga acak sangat membantu saat belanja</w:t>
            </w:r>
          </w:p>
        </w:tc>
      </w:tr>
      <w:tr w:rsidR="005B1E77" w:rsidRPr="0059320D" w14:paraId="0D95FC3A" w14:textId="77777777" w:rsidTr="009B1931">
        <w:tc>
          <w:tcPr>
            <w:tcW w:w="2235" w:type="dxa"/>
          </w:tcPr>
          <w:p w14:paraId="3A63A1BB" w14:textId="6E95875B" w:rsidR="005B1E77" w:rsidRPr="0059320D" w:rsidRDefault="00953F89" w:rsidP="003C5F4D">
            <w:pPr>
              <w:pStyle w:val="Heading1"/>
              <w:spacing w:before="0" w:after="0" w:line="240" w:lineRule="auto"/>
              <w:rPr>
                <w:rFonts w:cs="Times New Roman"/>
                <w:b w:val="0"/>
                <w:sz w:val="18"/>
                <w:szCs w:val="18"/>
                <w:lang w:val="id-ID"/>
              </w:rPr>
            </w:pPr>
            <w:r w:rsidRPr="0059320D">
              <w:rPr>
                <w:rFonts w:cs="Times New Roman"/>
                <w:b w:val="0"/>
                <w:sz w:val="18"/>
                <w:szCs w:val="18"/>
              </w:rPr>
              <w:t xml:space="preserve">PD </w:t>
            </w:r>
            <w:r w:rsidR="005B1E77" w:rsidRPr="0059320D">
              <w:rPr>
                <w:rFonts w:cs="Times New Roman"/>
                <w:b w:val="0"/>
                <w:sz w:val="18"/>
                <w:szCs w:val="18"/>
                <w:lang w:val="id-ID"/>
              </w:rPr>
              <w:t>2</w:t>
            </w:r>
          </w:p>
        </w:tc>
        <w:tc>
          <w:tcPr>
            <w:tcW w:w="6662" w:type="dxa"/>
          </w:tcPr>
          <w:p w14:paraId="1B4051FC" w14:textId="5807F135" w:rsidR="005B1E77" w:rsidRPr="0059320D" w:rsidRDefault="00DC19B4" w:rsidP="003C5F4D">
            <w:pPr>
              <w:pStyle w:val="Heading1"/>
              <w:spacing w:before="0" w:after="0" w:line="240" w:lineRule="auto"/>
              <w:rPr>
                <w:rFonts w:cs="Times New Roman"/>
                <w:b w:val="0"/>
                <w:sz w:val="18"/>
                <w:szCs w:val="18"/>
              </w:rPr>
            </w:pPr>
            <w:r w:rsidRPr="0059320D">
              <w:rPr>
                <w:rFonts w:cs="Times New Roman"/>
                <w:b w:val="0"/>
                <w:sz w:val="18"/>
                <w:szCs w:val="18"/>
              </w:rPr>
              <w:t>Harga yang ditawarkan sesuai dengan pasar tradisional</w:t>
            </w:r>
          </w:p>
        </w:tc>
      </w:tr>
      <w:tr w:rsidR="005B1E77" w:rsidRPr="0059320D" w14:paraId="167A9137" w14:textId="77777777" w:rsidTr="009B1931">
        <w:tc>
          <w:tcPr>
            <w:tcW w:w="2235" w:type="dxa"/>
          </w:tcPr>
          <w:p w14:paraId="4DFA0214" w14:textId="551FECB1" w:rsidR="005B1E77" w:rsidRPr="0059320D" w:rsidRDefault="00953F89" w:rsidP="003C5F4D">
            <w:pPr>
              <w:pStyle w:val="Heading1"/>
              <w:spacing w:before="0" w:after="0" w:line="240" w:lineRule="auto"/>
              <w:rPr>
                <w:rFonts w:cs="Times New Roman"/>
                <w:b w:val="0"/>
                <w:sz w:val="18"/>
                <w:szCs w:val="18"/>
                <w:lang w:val="id-ID"/>
              </w:rPr>
            </w:pPr>
            <w:r w:rsidRPr="0059320D">
              <w:rPr>
                <w:rFonts w:cs="Times New Roman"/>
                <w:b w:val="0"/>
                <w:sz w:val="18"/>
                <w:szCs w:val="18"/>
              </w:rPr>
              <w:t>PD</w:t>
            </w:r>
            <w:r w:rsidR="005010DD" w:rsidRPr="0059320D">
              <w:rPr>
                <w:rFonts w:cs="Times New Roman"/>
                <w:b w:val="0"/>
                <w:sz w:val="18"/>
                <w:szCs w:val="18"/>
                <w:lang w:val="id-ID"/>
              </w:rPr>
              <w:t xml:space="preserve"> </w:t>
            </w:r>
            <w:r w:rsidR="005B1E77" w:rsidRPr="0059320D">
              <w:rPr>
                <w:rFonts w:cs="Times New Roman"/>
                <w:b w:val="0"/>
                <w:sz w:val="18"/>
                <w:szCs w:val="18"/>
                <w:lang w:val="id-ID"/>
              </w:rPr>
              <w:t>3</w:t>
            </w:r>
          </w:p>
        </w:tc>
        <w:tc>
          <w:tcPr>
            <w:tcW w:w="6662" w:type="dxa"/>
          </w:tcPr>
          <w:p w14:paraId="0B2E9E46" w14:textId="512F315A" w:rsidR="005B1E77" w:rsidRPr="0059320D" w:rsidRDefault="00F43176" w:rsidP="003C5F4D">
            <w:pPr>
              <w:pStyle w:val="Heading1"/>
              <w:spacing w:before="0" w:after="0" w:line="240" w:lineRule="auto"/>
              <w:rPr>
                <w:rFonts w:cs="Times New Roman"/>
                <w:b w:val="0"/>
                <w:sz w:val="18"/>
                <w:szCs w:val="18"/>
              </w:rPr>
            </w:pPr>
            <w:r w:rsidRPr="0059320D">
              <w:rPr>
                <w:rFonts w:cs="Times New Roman"/>
                <w:b w:val="0"/>
                <w:sz w:val="18"/>
                <w:szCs w:val="18"/>
              </w:rPr>
              <w:t xml:space="preserve">Keunikan produk yang ditawarkan mempengaruhi </w:t>
            </w:r>
            <w:r w:rsidR="00045857">
              <w:rPr>
                <w:rFonts w:cs="Times New Roman"/>
                <w:b w:val="0"/>
                <w:sz w:val="18"/>
                <w:szCs w:val="18"/>
              </w:rPr>
              <w:t>keinginan untuk ber</w:t>
            </w:r>
            <w:r w:rsidRPr="0059320D">
              <w:rPr>
                <w:rFonts w:cs="Times New Roman"/>
                <w:b w:val="0"/>
                <w:sz w:val="18"/>
                <w:szCs w:val="18"/>
              </w:rPr>
              <w:t>belanja</w:t>
            </w:r>
          </w:p>
        </w:tc>
      </w:tr>
      <w:tr w:rsidR="005B1E77" w:rsidRPr="0059320D" w14:paraId="53079ECC" w14:textId="77777777" w:rsidTr="009B1931">
        <w:tc>
          <w:tcPr>
            <w:tcW w:w="2235" w:type="dxa"/>
          </w:tcPr>
          <w:p w14:paraId="77219DC7" w14:textId="0B710304" w:rsidR="005B1E77" w:rsidRPr="0059320D" w:rsidRDefault="00953F89" w:rsidP="003C5F4D">
            <w:pPr>
              <w:pStyle w:val="Heading1"/>
              <w:spacing w:before="0" w:after="0" w:line="240" w:lineRule="auto"/>
              <w:rPr>
                <w:rFonts w:cs="Times New Roman"/>
                <w:b w:val="0"/>
                <w:sz w:val="18"/>
                <w:szCs w:val="18"/>
              </w:rPr>
            </w:pPr>
            <w:r w:rsidRPr="0059320D">
              <w:rPr>
                <w:rFonts w:cs="Times New Roman"/>
                <w:b w:val="0"/>
                <w:sz w:val="18"/>
                <w:szCs w:val="18"/>
              </w:rPr>
              <w:t xml:space="preserve">PD </w:t>
            </w:r>
            <w:r w:rsidR="005B1E77" w:rsidRPr="0059320D">
              <w:rPr>
                <w:rFonts w:cs="Times New Roman"/>
                <w:b w:val="0"/>
                <w:sz w:val="18"/>
                <w:szCs w:val="18"/>
              </w:rPr>
              <w:t>4</w:t>
            </w:r>
          </w:p>
        </w:tc>
        <w:tc>
          <w:tcPr>
            <w:tcW w:w="6662" w:type="dxa"/>
          </w:tcPr>
          <w:p w14:paraId="5FAEE157" w14:textId="020406D4" w:rsidR="005B1E77" w:rsidRPr="0059320D" w:rsidRDefault="00916996" w:rsidP="003C5F4D">
            <w:pPr>
              <w:pStyle w:val="Heading1"/>
              <w:spacing w:before="0" w:after="0" w:line="240" w:lineRule="auto"/>
              <w:rPr>
                <w:rFonts w:cs="Times New Roman"/>
                <w:b w:val="0"/>
                <w:sz w:val="18"/>
                <w:szCs w:val="18"/>
              </w:rPr>
            </w:pPr>
            <w:r w:rsidRPr="0059320D">
              <w:rPr>
                <w:rFonts w:cs="Times New Roman"/>
                <w:b w:val="0"/>
                <w:sz w:val="18"/>
                <w:szCs w:val="18"/>
              </w:rPr>
              <w:t>Variasi harga yang ditawarkan sangat membantu keputusan belanja</w:t>
            </w:r>
          </w:p>
        </w:tc>
      </w:tr>
      <w:tr w:rsidR="00ED2F4A" w:rsidRPr="0059320D" w14:paraId="195FCFFC" w14:textId="77777777" w:rsidTr="009D1561">
        <w:tc>
          <w:tcPr>
            <w:tcW w:w="8897" w:type="dxa"/>
            <w:gridSpan w:val="2"/>
          </w:tcPr>
          <w:p w14:paraId="1BF1769B" w14:textId="5883A952" w:rsidR="00ED2F4A" w:rsidRPr="00ED2F4A" w:rsidRDefault="00ED2F4A" w:rsidP="003C5F4D">
            <w:pPr>
              <w:pStyle w:val="Heading1"/>
              <w:spacing w:before="0" w:after="0" w:line="240" w:lineRule="auto"/>
              <w:rPr>
                <w:rFonts w:cs="Times New Roman"/>
                <w:sz w:val="18"/>
                <w:szCs w:val="18"/>
              </w:rPr>
            </w:pPr>
            <w:r w:rsidRPr="0059320D">
              <w:rPr>
                <w:rFonts w:cs="Times New Roman"/>
                <w:sz w:val="18"/>
                <w:szCs w:val="18"/>
              </w:rPr>
              <w:t>E-tax</w:t>
            </w:r>
            <w:r>
              <w:rPr>
                <w:rFonts w:cs="Times New Roman"/>
                <w:sz w:val="18"/>
                <w:szCs w:val="18"/>
              </w:rPr>
              <w:t xml:space="preserve">- </w:t>
            </w:r>
            <w:r w:rsidRPr="0059320D">
              <w:rPr>
                <w:rFonts w:cs="Times New Roman"/>
                <w:b w:val="0"/>
                <w:color w:val="00B0F0"/>
                <w:sz w:val="18"/>
                <w:szCs w:val="18"/>
              </w:rPr>
              <w:t>Night &amp; Bananuka (2019)</w:t>
            </w:r>
          </w:p>
        </w:tc>
      </w:tr>
      <w:tr w:rsidR="005B1E77" w:rsidRPr="0059320D" w14:paraId="479DC9E1" w14:textId="77777777" w:rsidTr="009B1931">
        <w:tc>
          <w:tcPr>
            <w:tcW w:w="2235" w:type="dxa"/>
          </w:tcPr>
          <w:p w14:paraId="0BBAA874" w14:textId="6A9FAD7A" w:rsidR="005B1E77" w:rsidRPr="0059320D" w:rsidRDefault="00953F89" w:rsidP="003C5F4D">
            <w:pPr>
              <w:pStyle w:val="Heading1"/>
              <w:spacing w:before="0" w:after="0" w:line="240" w:lineRule="auto"/>
              <w:rPr>
                <w:rFonts w:cs="Times New Roman"/>
                <w:b w:val="0"/>
                <w:sz w:val="18"/>
                <w:szCs w:val="18"/>
              </w:rPr>
            </w:pPr>
            <w:r w:rsidRPr="0059320D">
              <w:rPr>
                <w:rFonts w:cs="Times New Roman"/>
                <w:b w:val="0"/>
                <w:sz w:val="18"/>
                <w:szCs w:val="18"/>
              </w:rPr>
              <w:t xml:space="preserve">e-tax </w:t>
            </w:r>
            <w:r w:rsidR="004F00C6" w:rsidRPr="0059320D">
              <w:rPr>
                <w:rFonts w:cs="Times New Roman"/>
                <w:b w:val="0"/>
                <w:sz w:val="18"/>
                <w:szCs w:val="18"/>
              </w:rPr>
              <w:t>1</w:t>
            </w:r>
          </w:p>
        </w:tc>
        <w:tc>
          <w:tcPr>
            <w:tcW w:w="6662" w:type="dxa"/>
          </w:tcPr>
          <w:p w14:paraId="12DD1C92" w14:textId="5C96D42E" w:rsidR="005B1E77" w:rsidRPr="0059320D" w:rsidRDefault="000D70B0" w:rsidP="003C5F4D">
            <w:pPr>
              <w:pStyle w:val="Heading1"/>
              <w:spacing w:before="0" w:after="0" w:line="240" w:lineRule="auto"/>
              <w:rPr>
                <w:rFonts w:cs="Times New Roman"/>
                <w:b w:val="0"/>
                <w:sz w:val="18"/>
                <w:szCs w:val="18"/>
              </w:rPr>
            </w:pPr>
            <w:r w:rsidRPr="0059320D">
              <w:rPr>
                <w:rFonts w:cs="Times New Roman"/>
                <w:b w:val="0"/>
                <w:sz w:val="18"/>
                <w:szCs w:val="18"/>
              </w:rPr>
              <w:t>Saya memiliki perasaan positif untuk sistem e-</w:t>
            </w:r>
            <w:r w:rsidR="00E130DE">
              <w:rPr>
                <w:rFonts w:cs="Times New Roman"/>
                <w:b w:val="0"/>
                <w:sz w:val="18"/>
                <w:szCs w:val="18"/>
              </w:rPr>
              <w:t xml:space="preserve">tax pada aplikasi </w:t>
            </w:r>
            <w:r w:rsidRPr="0059320D">
              <w:rPr>
                <w:rFonts w:cs="Times New Roman"/>
                <w:b w:val="0"/>
                <w:sz w:val="18"/>
                <w:szCs w:val="18"/>
              </w:rPr>
              <w:t>online</w:t>
            </w:r>
          </w:p>
        </w:tc>
      </w:tr>
      <w:tr w:rsidR="005B1E77" w:rsidRPr="0059320D" w14:paraId="73B84785" w14:textId="77777777" w:rsidTr="009B1931">
        <w:tc>
          <w:tcPr>
            <w:tcW w:w="2235" w:type="dxa"/>
          </w:tcPr>
          <w:p w14:paraId="0B56A976" w14:textId="1812F615" w:rsidR="005B1E77" w:rsidRPr="0059320D" w:rsidRDefault="0000613B" w:rsidP="003C5F4D">
            <w:pPr>
              <w:pStyle w:val="Heading1"/>
              <w:spacing w:before="0" w:after="0" w:line="240" w:lineRule="auto"/>
              <w:rPr>
                <w:rFonts w:cs="Times New Roman"/>
                <w:b w:val="0"/>
                <w:sz w:val="18"/>
                <w:szCs w:val="18"/>
                <w:lang w:val="id-ID"/>
              </w:rPr>
            </w:pPr>
            <w:r w:rsidRPr="0059320D">
              <w:rPr>
                <w:rFonts w:cs="Times New Roman"/>
                <w:b w:val="0"/>
                <w:sz w:val="18"/>
                <w:szCs w:val="18"/>
              </w:rPr>
              <w:t>e-tax</w:t>
            </w:r>
            <w:r w:rsidRPr="0059320D">
              <w:rPr>
                <w:rFonts w:cs="Times New Roman"/>
                <w:b w:val="0"/>
                <w:sz w:val="18"/>
                <w:szCs w:val="18"/>
                <w:lang w:val="id-ID"/>
              </w:rPr>
              <w:t xml:space="preserve"> </w:t>
            </w:r>
            <w:r w:rsidR="005B1E77" w:rsidRPr="0059320D">
              <w:rPr>
                <w:rFonts w:cs="Times New Roman"/>
                <w:b w:val="0"/>
                <w:sz w:val="18"/>
                <w:szCs w:val="18"/>
                <w:lang w:val="id-ID"/>
              </w:rPr>
              <w:t>2</w:t>
            </w:r>
          </w:p>
        </w:tc>
        <w:tc>
          <w:tcPr>
            <w:tcW w:w="6662" w:type="dxa"/>
          </w:tcPr>
          <w:p w14:paraId="16AFDCDA" w14:textId="6E88B93B" w:rsidR="005B1E77" w:rsidRPr="0059320D" w:rsidRDefault="000D70B0" w:rsidP="003C5F4D">
            <w:pPr>
              <w:pStyle w:val="Heading1"/>
              <w:spacing w:before="0" w:after="0" w:line="240" w:lineRule="auto"/>
              <w:rPr>
                <w:rFonts w:cs="Times New Roman"/>
                <w:b w:val="0"/>
                <w:sz w:val="18"/>
                <w:szCs w:val="18"/>
              </w:rPr>
            </w:pPr>
            <w:r w:rsidRPr="0059320D">
              <w:rPr>
                <w:rFonts w:cs="Times New Roman"/>
                <w:b w:val="0"/>
                <w:sz w:val="18"/>
                <w:szCs w:val="18"/>
              </w:rPr>
              <w:t>Sistem e-pajak dalam online shopping membuat kita mudah dalam kepatuhan pajak</w:t>
            </w:r>
          </w:p>
        </w:tc>
      </w:tr>
      <w:tr w:rsidR="005B1E77" w:rsidRPr="0059320D" w14:paraId="245BE885" w14:textId="77777777" w:rsidTr="009B1931">
        <w:tc>
          <w:tcPr>
            <w:tcW w:w="2235" w:type="dxa"/>
          </w:tcPr>
          <w:p w14:paraId="7F9CBF96" w14:textId="6B085886" w:rsidR="005B1E77" w:rsidRPr="0059320D" w:rsidRDefault="0000613B" w:rsidP="003C5F4D">
            <w:pPr>
              <w:pStyle w:val="Heading1"/>
              <w:spacing w:before="0" w:after="0" w:line="240" w:lineRule="auto"/>
              <w:rPr>
                <w:rFonts w:cs="Times New Roman"/>
                <w:b w:val="0"/>
                <w:sz w:val="18"/>
                <w:szCs w:val="18"/>
                <w:lang w:val="id-ID"/>
              </w:rPr>
            </w:pPr>
            <w:r w:rsidRPr="0059320D">
              <w:rPr>
                <w:rFonts w:cs="Times New Roman"/>
                <w:b w:val="0"/>
                <w:sz w:val="18"/>
                <w:szCs w:val="18"/>
              </w:rPr>
              <w:t>e-tax</w:t>
            </w:r>
            <w:r w:rsidRPr="0059320D">
              <w:rPr>
                <w:rFonts w:cs="Times New Roman"/>
                <w:b w:val="0"/>
                <w:sz w:val="18"/>
                <w:szCs w:val="18"/>
                <w:lang w:val="id-ID"/>
              </w:rPr>
              <w:t xml:space="preserve"> </w:t>
            </w:r>
            <w:r w:rsidR="005B1E77" w:rsidRPr="0059320D">
              <w:rPr>
                <w:rFonts w:cs="Times New Roman"/>
                <w:b w:val="0"/>
                <w:sz w:val="18"/>
                <w:szCs w:val="18"/>
                <w:lang w:val="id-ID"/>
              </w:rPr>
              <w:t>3</w:t>
            </w:r>
          </w:p>
        </w:tc>
        <w:tc>
          <w:tcPr>
            <w:tcW w:w="6662" w:type="dxa"/>
          </w:tcPr>
          <w:p w14:paraId="3B6ECA83" w14:textId="202E4F30" w:rsidR="005B1E77" w:rsidRPr="0059320D" w:rsidRDefault="000D70B0" w:rsidP="003C5F4D">
            <w:pPr>
              <w:pStyle w:val="Heading1"/>
              <w:spacing w:before="0" w:after="0" w:line="240" w:lineRule="auto"/>
              <w:rPr>
                <w:rFonts w:cs="Times New Roman"/>
                <w:b w:val="0"/>
                <w:sz w:val="18"/>
                <w:szCs w:val="18"/>
              </w:rPr>
            </w:pPr>
            <w:r w:rsidRPr="0059320D">
              <w:rPr>
                <w:rFonts w:cs="Times New Roman"/>
                <w:b w:val="0"/>
                <w:sz w:val="18"/>
                <w:szCs w:val="18"/>
              </w:rPr>
              <w:t xml:space="preserve">Sistem e-tax yang </w:t>
            </w:r>
            <w:r w:rsidR="00D420A7" w:rsidRPr="0059320D">
              <w:rPr>
                <w:rFonts w:cs="Times New Roman"/>
                <w:b w:val="0"/>
                <w:sz w:val="18"/>
                <w:szCs w:val="18"/>
              </w:rPr>
              <w:t xml:space="preserve">duterapkan </w:t>
            </w:r>
            <w:r w:rsidRPr="0059320D">
              <w:rPr>
                <w:rFonts w:cs="Times New Roman"/>
                <w:b w:val="0"/>
                <w:sz w:val="18"/>
                <w:szCs w:val="18"/>
              </w:rPr>
              <w:t xml:space="preserve">oleh aplikasi </w:t>
            </w:r>
            <w:r w:rsidR="00D420A7" w:rsidRPr="0059320D">
              <w:rPr>
                <w:rFonts w:cs="Times New Roman"/>
                <w:b w:val="0"/>
                <w:sz w:val="18"/>
                <w:szCs w:val="18"/>
              </w:rPr>
              <w:t xml:space="preserve">TO </w:t>
            </w:r>
            <w:r w:rsidRPr="0059320D">
              <w:rPr>
                <w:rFonts w:cs="Times New Roman"/>
                <w:b w:val="0"/>
                <w:sz w:val="18"/>
                <w:szCs w:val="18"/>
              </w:rPr>
              <w:t xml:space="preserve">nyaman dan </w:t>
            </w:r>
            <w:r w:rsidR="00D420A7" w:rsidRPr="0059320D">
              <w:rPr>
                <w:rFonts w:cs="Times New Roman"/>
                <w:b w:val="0"/>
                <w:sz w:val="18"/>
                <w:szCs w:val="18"/>
              </w:rPr>
              <w:t>cepat</w:t>
            </w:r>
          </w:p>
        </w:tc>
      </w:tr>
      <w:tr w:rsidR="005B1E77" w:rsidRPr="0059320D" w14:paraId="62BEDCD5" w14:textId="77777777" w:rsidTr="009B1931">
        <w:tc>
          <w:tcPr>
            <w:tcW w:w="2235" w:type="dxa"/>
          </w:tcPr>
          <w:p w14:paraId="74F4037D" w14:textId="36E87D5C" w:rsidR="005B1E77" w:rsidRPr="0059320D" w:rsidRDefault="0000613B" w:rsidP="003C5F4D">
            <w:pPr>
              <w:pStyle w:val="Heading1"/>
              <w:spacing w:before="0" w:after="0" w:line="240" w:lineRule="auto"/>
              <w:rPr>
                <w:rFonts w:cs="Times New Roman"/>
                <w:b w:val="0"/>
                <w:sz w:val="18"/>
                <w:szCs w:val="18"/>
              </w:rPr>
            </w:pPr>
            <w:r w:rsidRPr="0059320D">
              <w:rPr>
                <w:rFonts w:cs="Times New Roman"/>
                <w:b w:val="0"/>
                <w:sz w:val="18"/>
                <w:szCs w:val="18"/>
              </w:rPr>
              <w:t xml:space="preserve">e-tax </w:t>
            </w:r>
            <w:r w:rsidR="005B1E77" w:rsidRPr="0059320D">
              <w:rPr>
                <w:rFonts w:cs="Times New Roman"/>
                <w:b w:val="0"/>
                <w:sz w:val="18"/>
                <w:szCs w:val="18"/>
              </w:rPr>
              <w:t>4</w:t>
            </w:r>
          </w:p>
        </w:tc>
        <w:tc>
          <w:tcPr>
            <w:tcW w:w="6662" w:type="dxa"/>
          </w:tcPr>
          <w:p w14:paraId="5036D60F" w14:textId="66BBF2C7" w:rsidR="005B1E77" w:rsidRPr="0059320D" w:rsidRDefault="00D420A7" w:rsidP="003C5F4D">
            <w:pPr>
              <w:pStyle w:val="Heading1"/>
              <w:spacing w:before="0" w:after="0" w:line="240" w:lineRule="auto"/>
              <w:rPr>
                <w:rFonts w:cs="Times New Roman"/>
                <w:b w:val="0"/>
                <w:sz w:val="18"/>
                <w:szCs w:val="18"/>
              </w:rPr>
            </w:pPr>
            <w:r w:rsidRPr="0059320D">
              <w:rPr>
                <w:rFonts w:cs="Times New Roman"/>
                <w:b w:val="0"/>
                <w:sz w:val="18"/>
                <w:szCs w:val="18"/>
              </w:rPr>
              <w:t>Saya merasa lebih baik dengan e-tax karena telah membayar pajak</w:t>
            </w:r>
          </w:p>
        </w:tc>
      </w:tr>
      <w:tr w:rsidR="0000613B" w:rsidRPr="0059320D" w14:paraId="14D826C4" w14:textId="77777777" w:rsidTr="009B1931">
        <w:tc>
          <w:tcPr>
            <w:tcW w:w="2235" w:type="dxa"/>
          </w:tcPr>
          <w:p w14:paraId="681EC2B3" w14:textId="2394A35E" w:rsidR="0000613B" w:rsidRPr="0059320D" w:rsidRDefault="0000613B" w:rsidP="003C5F4D">
            <w:pPr>
              <w:pStyle w:val="Heading1"/>
              <w:spacing w:before="0" w:after="0" w:line="240" w:lineRule="auto"/>
              <w:rPr>
                <w:rFonts w:cs="Times New Roman"/>
                <w:b w:val="0"/>
                <w:sz w:val="18"/>
                <w:szCs w:val="18"/>
              </w:rPr>
            </w:pPr>
            <w:r w:rsidRPr="0059320D">
              <w:rPr>
                <w:rFonts w:cs="Times New Roman"/>
                <w:b w:val="0"/>
                <w:sz w:val="18"/>
                <w:szCs w:val="18"/>
              </w:rPr>
              <w:t>e-tax 5</w:t>
            </w:r>
          </w:p>
        </w:tc>
        <w:tc>
          <w:tcPr>
            <w:tcW w:w="6662" w:type="dxa"/>
          </w:tcPr>
          <w:p w14:paraId="7F204A87" w14:textId="1F39AA45" w:rsidR="0000613B" w:rsidRPr="0059320D" w:rsidRDefault="00D420A7" w:rsidP="003C5F4D">
            <w:pPr>
              <w:pStyle w:val="Heading1"/>
              <w:spacing w:before="0" w:after="0" w:line="240" w:lineRule="auto"/>
              <w:rPr>
                <w:rFonts w:cs="Times New Roman"/>
                <w:b w:val="0"/>
                <w:sz w:val="18"/>
                <w:szCs w:val="18"/>
              </w:rPr>
            </w:pPr>
            <w:r w:rsidRPr="0059320D">
              <w:rPr>
                <w:rFonts w:cs="Times New Roman"/>
                <w:b w:val="0"/>
                <w:sz w:val="18"/>
                <w:szCs w:val="18"/>
              </w:rPr>
              <w:t>Sistem e-tax aman, dan nyaman digunakan</w:t>
            </w:r>
            <w:r w:rsidR="00F71854" w:rsidRPr="0059320D">
              <w:rPr>
                <w:rFonts w:cs="Times New Roman"/>
                <w:b w:val="0"/>
                <w:sz w:val="18"/>
                <w:szCs w:val="18"/>
              </w:rPr>
              <w:t xml:space="preserve"> saat transaksi </w:t>
            </w:r>
            <w:r w:rsidR="009373EE" w:rsidRPr="0059320D">
              <w:rPr>
                <w:rFonts w:cs="Times New Roman"/>
                <w:b w:val="0"/>
                <w:sz w:val="18"/>
                <w:szCs w:val="18"/>
              </w:rPr>
              <w:t xml:space="preserve">bertransaksi </w:t>
            </w:r>
            <w:r w:rsidR="00F71854" w:rsidRPr="0059320D">
              <w:rPr>
                <w:rFonts w:cs="Times New Roman"/>
                <w:b w:val="0"/>
                <w:sz w:val="18"/>
                <w:szCs w:val="18"/>
              </w:rPr>
              <w:t>online</w:t>
            </w:r>
          </w:p>
        </w:tc>
      </w:tr>
      <w:tr w:rsidR="00ED2F4A" w:rsidRPr="0059320D" w14:paraId="0B472FD9" w14:textId="77777777" w:rsidTr="00D51DE4">
        <w:tc>
          <w:tcPr>
            <w:tcW w:w="8897" w:type="dxa"/>
            <w:gridSpan w:val="2"/>
          </w:tcPr>
          <w:p w14:paraId="4DF3566B" w14:textId="58AC9721" w:rsidR="00ED2F4A" w:rsidRPr="00ED2F4A" w:rsidRDefault="00ED2F4A" w:rsidP="003C5F4D">
            <w:pPr>
              <w:pStyle w:val="Heading1"/>
              <w:spacing w:before="0" w:after="0" w:line="240" w:lineRule="auto"/>
              <w:rPr>
                <w:rFonts w:cs="Times New Roman"/>
                <w:sz w:val="18"/>
                <w:szCs w:val="18"/>
              </w:rPr>
            </w:pPr>
            <w:r w:rsidRPr="0059320D">
              <w:rPr>
                <w:rFonts w:cs="Times New Roman"/>
                <w:sz w:val="18"/>
                <w:szCs w:val="18"/>
              </w:rPr>
              <w:t>Transaksi Online (OL)</w:t>
            </w:r>
            <w:r>
              <w:rPr>
                <w:rFonts w:cs="Times New Roman"/>
                <w:sz w:val="18"/>
                <w:szCs w:val="18"/>
              </w:rPr>
              <w:t xml:space="preserve"> - </w:t>
            </w:r>
            <w:r w:rsidRPr="0059320D">
              <w:rPr>
                <w:rFonts w:cs="Times New Roman"/>
                <w:b w:val="0"/>
                <w:color w:val="00B0F0"/>
                <w:sz w:val="18"/>
                <w:szCs w:val="18"/>
              </w:rPr>
              <w:t>Cho, 2004</w:t>
            </w:r>
          </w:p>
        </w:tc>
      </w:tr>
      <w:tr w:rsidR="005B1E77" w:rsidRPr="0059320D" w14:paraId="3858581D" w14:textId="77777777" w:rsidTr="009B1931">
        <w:tc>
          <w:tcPr>
            <w:tcW w:w="2235" w:type="dxa"/>
          </w:tcPr>
          <w:p w14:paraId="45035DAA" w14:textId="16486F63" w:rsidR="005B1E77" w:rsidRPr="0059320D" w:rsidRDefault="00E76CFE" w:rsidP="003C5F4D">
            <w:pPr>
              <w:pStyle w:val="Heading1"/>
              <w:spacing w:before="0" w:after="0" w:line="240" w:lineRule="auto"/>
              <w:rPr>
                <w:rFonts w:cs="Times New Roman"/>
                <w:b w:val="0"/>
                <w:sz w:val="18"/>
                <w:szCs w:val="18"/>
                <w:lang w:val="id-ID"/>
              </w:rPr>
            </w:pPr>
            <w:r w:rsidRPr="0059320D">
              <w:rPr>
                <w:rFonts w:cs="Times New Roman"/>
                <w:b w:val="0"/>
                <w:sz w:val="18"/>
                <w:szCs w:val="18"/>
              </w:rPr>
              <w:t>OL</w:t>
            </w:r>
            <w:r w:rsidR="005B1E77" w:rsidRPr="0059320D">
              <w:rPr>
                <w:rFonts w:cs="Times New Roman"/>
                <w:b w:val="0"/>
                <w:sz w:val="18"/>
                <w:szCs w:val="18"/>
                <w:lang w:val="id-ID"/>
              </w:rPr>
              <w:t xml:space="preserve"> 1</w:t>
            </w:r>
          </w:p>
        </w:tc>
        <w:tc>
          <w:tcPr>
            <w:tcW w:w="6662" w:type="dxa"/>
          </w:tcPr>
          <w:p w14:paraId="2D2D27B0" w14:textId="2912C0BE" w:rsidR="005B1E77" w:rsidRPr="0059320D" w:rsidRDefault="00E646CD" w:rsidP="003C5F4D">
            <w:pPr>
              <w:pStyle w:val="Heading1"/>
              <w:spacing w:before="0" w:after="0" w:line="240" w:lineRule="auto"/>
              <w:rPr>
                <w:rFonts w:cs="Times New Roman"/>
                <w:b w:val="0"/>
                <w:sz w:val="18"/>
                <w:szCs w:val="18"/>
              </w:rPr>
            </w:pPr>
            <w:r w:rsidRPr="0059320D">
              <w:rPr>
                <w:rFonts w:cs="Times New Roman"/>
                <w:b w:val="0"/>
                <w:sz w:val="18"/>
                <w:szCs w:val="18"/>
              </w:rPr>
              <w:t>Saya senang berbelanja dan browsing melalui pusat perbelanjaan</w:t>
            </w:r>
            <w:r w:rsidR="00BE0262">
              <w:rPr>
                <w:rFonts w:cs="Times New Roman"/>
                <w:b w:val="0"/>
                <w:sz w:val="18"/>
                <w:szCs w:val="18"/>
              </w:rPr>
              <w:t xml:space="preserve"> online</w:t>
            </w:r>
          </w:p>
        </w:tc>
      </w:tr>
      <w:tr w:rsidR="005B1E77" w:rsidRPr="0059320D" w14:paraId="3546B938" w14:textId="77777777" w:rsidTr="009B1931">
        <w:tc>
          <w:tcPr>
            <w:tcW w:w="2235" w:type="dxa"/>
          </w:tcPr>
          <w:p w14:paraId="30392DD2" w14:textId="539474BD" w:rsidR="005B1E77" w:rsidRPr="0059320D" w:rsidRDefault="00E76CFE" w:rsidP="003C5F4D">
            <w:pPr>
              <w:pStyle w:val="Heading1"/>
              <w:spacing w:before="0" w:after="0" w:line="240" w:lineRule="auto"/>
              <w:rPr>
                <w:rFonts w:cs="Times New Roman"/>
                <w:b w:val="0"/>
                <w:sz w:val="18"/>
                <w:szCs w:val="18"/>
                <w:lang w:val="id-ID"/>
              </w:rPr>
            </w:pPr>
            <w:r w:rsidRPr="0059320D">
              <w:rPr>
                <w:rFonts w:cs="Times New Roman"/>
                <w:b w:val="0"/>
                <w:sz w:val="18"/>
                <w:szCs w:val="18"/>
              </w:rPr>
              <w:t>O</w:t>
            </w:r>
            <w:r w:rsidR="005B1E77" w:rsidRPr="0059320D">
              <w:rPr>
                <w:rFonts w:cs="Times New Roman"/>
                <w:b w:val="0"/>
                <w:sz w:val="18"/>
                <w:szCs w:val="18"/>
                <w:lang w:val="id-ID"/>
              </w:rPr>
              <w:t>L 2</w:t>
            </w:r>
          </w:p>
        </w:tc>
        <w:tc>
          <w:tcPr>
            <w:tcW w:w="6662" w:type="dxa"/>
          </w:tcPr>
          <w:p w14:paraId="1C9FB09A" w14:textId="6AD4E39F" w:rsidR="005B1E77" w:rsidRPr="0059320D" w:rsidRDefault="00E646CD" w:rsidP="003C5F4D">
            <w:pPr>
              <w:pStyle w:val="Heading1"/>
              <w:spacing w:before="0" w:after="0" w:line="240" w:lineRule="auto"/>
              <w:rPr>
                <w:rFonts w:cs="Times New Roman"/>
                <w:b w:val="0"/>
                <w:sz w:val="18"/>
                <w:szCs w:val="18"/>
              </w:rPr>
            </w:pPr>
            <w:r w:rsidRPr="0059320D">
              <w:rPr>
                <w:rFonts w:cs="Times New Roman"/>
                <w:b w:val="0"/>
                <w:sz w:val="18"/>
                <w:szCs w:val="18"/>
              </w:rPr>
              <w:t>Pusat perbelanjaan online adalah tempat favorit untuk berbelanja</w:t>
            </w:r>
          </w:p>
        </w:tc>
      </w:tr>
      <w:tr w:rsidR="005B1E77" w:rsidRPr="0059320D" w14:paraId="2D06B5A7" w14:textId="77777777" w:rsidTr="009B1931">
        <w:tc>
          <w:tcPr>
            <w:tcW w:w="2235" w:type="dxa"/>
          </w:tcPr>
          <w:p w14:paraId="753C78CD" w14:textId="5E8A653C" w:rsidR="005B1E77" w:rsidRPr="0059320D" w:rsidRDefault="00E76CFE" w:rsidP="003C5F4D">
            <w:pPr>
              <w:pStyle w:val="Heading1"/>
              <w:spacing w:before="0" w:after="0" w:line="240" w:lineRule="auto"/>
              <w:rPr>
                <w:rFonts w:cs="Times New Roman"/>
                <w:b w:val="0"/>
                <w:sz w:val="18"/>
                <w:szCs w:val="18"/>
                <w:lang w:val="id-ID"/>
              </w:rPr>
            </w:pPr>
            <w:r w:rsidRPr="0059320D">
              <w:rPr>
                <w:rFonts w:cs="Times New Roman"/>
                <w:b w:val="0"/>
                <w:sz w:val="18"/>
                <w:szCs w:val="18"/>
              </w:rPr>
              <w:t>O</w:t>
            </w:r>
            <w:r w:rsidR="005B1E77" w:rsidRPr="0059320D">
              <w:rPr>
                <w:rFonts w:cs="Times New Roman"/>
                <w:b w:val="0"/>
                <w:sz w:val="18"/>
                <w:szCs w:val="18"/>
                <w:lang w:val="id-ID"/>
              </w:rPr>
              <w:t>L 3</w:t>
            </w:r>
          </w:p>
        </w:tc>
        <w:tc>
          <w:tcPr>
            <w:tcW w:w="6662" w:type="dxa"/>
          </w:tcPr>
          <w:p w14:paraId="2BF33A0C" w14:textId="371D43BC" w:rsidR="005B1E77" w:rsidRPr="0059320D" w:rsidRDefault="00E646CD" w:rsidP="003C5F4D">
            <w:pPr>
              <w:pStyle w:val="Heading1"/>
              <w:spacing w:before="0" w:after="0" w:line="240" w:lineRule="auto"/>
              <w:rPr>
                <w:rFonts w:cs="Times New Roman"/>
                <w:b w:val="0"/>
                <w:sz w:val="18"/>
                <w:szCs w:val="18"/>
              </w:rPr>
            </w:pPr>
            <w:r w:rsidRPr="0059320D">
              <w:rPr>
                <w:rFonts w:cs="Times New Roman"/>
                <w:b w:val="0"/>
                <w:sz w:val="18"/>
                <w:szCs w:val="18"/>
              </w:rPr>
              <w:t>Saya tidak keberatan menghabiskan waktu menjelajah pusat perbelanjaan online</w:t>
            </w:r>
          </w:p>
        </w:tc>
      </w:tr>
      <w:tr w:rsidR="005B1E77" w:rsidRPr="0059320D" w14:paraId="3D1D05C7" w14:textId="77777777" w:rsidTr="009B1931">
        <w:tc>
          <w:tcPr>
            <w:tcW w:w="2235" w:type="dxa"/>
          </w:tcPr>
          <w:p w14:paraId="75739298" w14:textId="7415DCE1" w:rsidR="005B1E77" w:rsidRPr="0059320D" w:rsidRDefault="00E76CFE" w:rsidP="003C5F4D">
            <w:pPr>
              <w:pStyle w:val="Heading1"/>
              <w:spacing w:before="0" w:after="0" w:line="240" w:lineRule="auto"/>
              <w:rPr>
                <w:rFonts w:cs="Times New Roman"/>
                <w:b w:val="0"/>
                <w:sz w:val="18"/>
                <w:szCs w:val="18"/>
              </w:rPr>
            </w:pPr>
            <w:r w:rsidRPr="0059320D">
              <w:rPr>
                <w:rFonts w:cs="Times New Roman"/>
                <w:b w:val="0"/>
                <w:sz w:val="18"/>
                <w:szCs w:val="18"/>
              </w:rPr>
              <w:t>O</w:t>
            </w:r>
            <w:r w:rsidR="005B1E77" w:rsidRPr="0059320D">
              <w:rPr>
                <w:rFonts w:cs="Times New Roman"/>
                <w:b w:val="0"/>
                <w:sz w:val="18"/>
                <w:szCs w:val="18"/>
                <w:lang w:val="id-ID"/>
              </w:rPr>
              <w:t xml:space="preserve">L </w:t>
            </w:r>
            <w:r w:rsidR="005B1E77" w:rsidRPr="0059320D">
              <w:rPr>
                <w:rFonts w:cs="Times New Roman"/>
                <w:b w:val="0"/>
                <w:sz w:val="18"/>
                <w:szCs w:val="18"/>
              </w:rPr>
              <w:t>4</w:t>
            </w:r>
          </w:p>
        </w:tc>
        <w:tc>
          <w:tcPr>
            <w:tcW w:w="6662" w:type="dxa"/>
          </w:tcPr>
          <w:p w14:paraId="6DCBC3A2" w14:textId="4EE4B06C" w:rsidR="005B1E77" w:rsidRPr="0059320D" w:rsidRDefault="00E646CD" w:rsidP="003C5F4D">
            <w:pPr>
              <w:pStyle w:val="Heading1"/>
              <w:spacing w:before="0" w:after="0" w:line="240" w:lineRule="auto"/>
              <w:rPr>
                <w:rFonts w:cs="Times New Roman"/>
                <w:b w:val="0"/>
                <w:sz w:val="18"/>
                <w:szCs w:val="18"/>
              </w:rPr>
            </w:pPr>
            <w:r w:rsidRPr="0059320D">
              <w:rPr>
                <w:rFonts w:cs="Times New Roman"/>
                <w:b w:val="0"/>
                <w:sz w:val="18"/>
                <w:szCs w:val="18"/>
              </w:rPr>
              <w:t>Saya menikmati setiap momen saat berbelanja online.</w:t>
            </w:r>
          </w:p>
        </w:tc>
      </w:tr>
    </w:tbl>
    <w:p w14:paraId="6DF8BBD7" w14:textId="5192D191" w:rsidR="00B23C61" w:rsidRDefault="00B23C61" w:rsidP="00B23C61">
      <w:r>
        <w:br w:type="page"/>
      </w:r>
    </w:p>
    <w:p w14:paraId="7A4B1C11" w14:textId="562EBBB0" w:rsidR="00D77C5D" w:rsidRDefault="00B23C61" w:rsidP="00FC41A7">
      <w:pPr>
        <w:pStyle w:val="Heading1"/>
        <w:jc w:val="left"/>
      </w:pPr>
      <w:r>
        <w:lastRenderedPageBreak/>
        <w:t>Daftar Pustaka</w:t>
      </w:r>
    </w:p>
    <w:p w14:paraId="79A33758" w14:textId="1A876B9F" w:rsidR="00DC5ADC" w:rsidRDefault="00DC5ADC" w:rsidP="00DC5ADC">
      <w:pPr>
        <w:ind w:left="284" w:hanging="284"/>
        <w:rPr>
          <w:lang w:val="en-US"/>
        </w:rPr>
      </w:pPr>
      <w:r w:rsidRPr="00B8082D">
        <w:t xml:space="preserve">Agrawal, D.R., Fox, W.F. Taxes in an e-commerce generation. Int Tax Public Finance 24, 903–926 (2017). </w:t>
      </w:r>
      <w:hyperlink r:id="rId9" w:history="1">
        <w:r w:rsidRPr="00AC3C78">
          <w:rPr>
            <w:rStyle w:val="Hyperlink"/>
          </w:rPr>
          <w:t>https://doi.org/10.1007/s10797-016-9422-3</w:t>
        </w:r>
      </w:hyperlink>
      <w:r>
        <w:rPr>
          <w:lang w:val="en-US"/>
        </w:rPr>
        <w:t xml:space="preserve">. </w:t>
      </w:r>
    </w:p>
    <w:p w14:paraId="583880D6" w14:textId="3493A71A" w:rsidR="003B358B" w:rsidRDefault="003B358B" w:rsidP="00DC5ADC">
      <w:pPr>
        <w:ind w:left="284" w:hanging="284"/>
        <w:rPr>
          <w:lang w:val="en-US"/>
        </w:rPr>
      </w:pPr>
      <w:r w:rsidRPr="003B358B">
        <w:rPr>
          <w:lang w:val="en-US"/>
        </w:rPr>
        <w:t xml:space="preserve">Ahmad, N., Omar, A. and Ramayah, T. (2010), "Consumer lifestyles and online shopping continuance intention", Business Strategy Series, Vol. 11 No. 4, pp. 227-243. </w:t>
      </w:r>
      <w:hyperlink r:id="rId10" w:history="1">
        <w:r w:rsidR="00011243" w:rsidRPr="00C15D41">
          <w:rPr>
            <w:rStyle w:val="Hyperlink"/>
            <w:lang w:val="en-US"/>
          </w:rPr>
          <w:t>https://doi.org/10.1108/17515631011063767</w:t>
        </w:r>
      </w:hyperlink>
      <w:r w:rsidR="00011243">
        <w:rPr>
          <w:lang w:val="en-US"/>
        </w:rPr>
        <w:t>.</w:t>
      </w:r>
    </w:p>
    <w:p w14:paraId="69AB2C41" w14:textId="284DD41D" w:rsidR="00011243" w:rsidRDefault="00011243" w:rsidP="00DC5ADC">
      <w:pPr>
        <w:ind w:left="284" w:hanging="284"/>
        <w:rPr>
          <w:lang w:val="en-US"/>
        </w:rPr>
      </w:pPr>
      <w:r w:rsidRPr="00011243">
        <w:rPr>
          <w:lang w:val="en-US"/>
        </w:rPr>
        <w:t>Alotaibi, T. S., Alkhathlan, A. A., &amp; Alzeer, S. S. (2019). Instagram shopping in Saudi Arabia: what influences consumer trust and purchase decisions. International Journal of Advanced Computer Science and Applications, 10(11).</w:t>
      </w:r>
    </w:p>
    <w:p w14:paraId="058F15BF" w14:textId="77777777" w:rsidR="00DC5ADC" w:rsidRDefault="00DC5ADC" w:rsidP="00DC5ADC">
      <w:pPr>
        <w:ind w:left="284" w:hanging="284"/>
        <w:rPr>
          <w:lang w:val="en-US"/>
        </w:rPr>
      </w:pPr>
      <w:r w:rsidRPr="00177D86">
        <w:rPr>
          <w:lang w:val="en-US"/>
        </w:rPr>
        <w:t>Amin, N., &amp; Mohd Nor, R. (2013). Online shopping in Malaysia: Legal Protection for E-consumers. European Journal of Business and Management, 5(24), 79-86.</w:t>
      </w:r>
    </w:p>
    <w:p w14:paraId="5D41EDB8" w14:textId="77777777" w:rsidR="00DC5ADC" w:rsidRDefault="00DC5ADC" w:rsidP="00DC5ADC">
      <w:pPr>
        <w:ind w:left="284" w:hanging="284"/>
        <w:rPr>
          <w:lang w:val="en-US"/>
        </w:rPr>
      </w:pPr>
      <w:r w:rsidRPr="004D3733">
        <w:rPr>
          <w:lang w:val="en-US"/>
        </w:rPr>
        <w:t>Ba, S., Stallaert, J., &amp; Zhang, Z. (2012). Research note—online price dispersion: A game-theoretic perspective and empirical evidence. Information Systems Research, 23(2), 575-592.</w:t>
      </w:r>
      <w:r>
        <w:rPr>
          <w:lang w:val="en-US"/>
        </w:rPr>
        <w:t xml:space="preserve"> </w:t>
      </w:r>
      <w:hyperlink r:id="rId11" w:history="1">
        <w:r w:rsidRPr="00794F06">
          <w:rPr>
            <w:rStyle w:val="Hyperlink"/>
            <w:lang w:val="en-US"/>
          </w:rPr>
          <w:t>https://doi.org/10.1287/isre.1110.0353</w:t>
        </w:r>
      </w:hyperlink>
      <w:r>
        <w:rPr>
          <w:lang w:val="en-US"/>
        </w:rPr>
        <w:t xml:space="preserve">. </w:t>
      </w:r>
    </w:p>
    <w:p w14:paraId="45498190" w14:textId="77777777" w:rsidR="00DC5ADC" w:rsidRDefault="00DC5ADC" w:rsidP="00DC5ADC">
      <w:pPr>
        <w:ind w:left="284" w:hanging="284"/>
        <w:rPr>
          <w:lang w:val="en-US"/>
        </w:rPr>
      </w:pPr>
      <w:r w:rsidRPr="00C4456C">
        <w:rPr>
          <w:lang w:val="en-US"/>
        </w:rPr>
        <w:t>Babar, A., Rasheed, A., &amp; Sajjad, M. (2014). Factors influencing online shopping behavior of consumers. Journal of Basic and Applied Scientific Research, 4(4), 314-320.</w:t>
      </w:r>
      <w:r>
        <w:rPr>
          <w:lang w:val="en-US"/>
        </w:rPr>
        <w:t xml:space="preserve"> </w:t>
      </w:r>
    </w:p>
    <w:p w14:paraId="2FFC435C" w14:textId="7BE96F65" w:rsidR="00DC5ADC" w:rsidRDefault="00DC5ADC" w:rsidP="00DC5ADC">
      <w:pPr>
        <w:ind w:left="284" w:hanging="284"/>
        <w:rPr>
          <w:lang w:val="en-US"/>
        </w:rPr>
      </w:pPr>
      <w:r w:rsidRPr="00C57E68">
        <w:rPr>
          <w:lang w:val="en-US"/>
        </w:rPr>
        <w:t>Baker, S. R., Johnson, S., &amp; Kueng, L. (2021). Shopping for lower sales tax rates. American Economic Journal: Macroeconomics, 13(3), 209-50.</w:t>
      </w:r>
      <w:r>
        <w:rPr>
          <w:lang w:val="en-US"/>
        </w:rPr>
        <w:t xml:space="preserve"> </w:t>
      </w:r>
      <w:hyperlink r:id="rId12" w:history="1">
        <w:r w:rsidRPr="00B013F3">
          <w:rPr>
            <w:rStyle w:val="Hyperlink"/>
            <w:lang w:val="en-US"/>
          </w:rPr>
          <w:t>https://doi.org/10.1257/mac.20190026</w:t>
        </w:r>
      </w:hyperlink>
      <w:r>
        <w:rPr>
          <w:lang w:val="en-US"/>
        </w:rPr>
        <w:t xml:space="preserve">. </w:t>
      </w:r>
    </w:p>
    <w:p w14:paraId="45636F86" w14:textId="5C976015" w:rsidR="00ED2545" w:rsidRDefault="00ED2545" w:rsidP="00DC5ADC">
      <w:pPr>
        <w:ind w:left="284" w:hanging="284"/>
        <w:rPr>
          <w:lang w:val="en-US"/>
        </w:rPr>
      </w:pPr>
      <w:r w:rsidRPr="00ED2545">
        <w:rPr>
          <w:lang w:val="en-US"/>
        </w:rPr>
        <w:t>Bauman, A., &amp; Bachmann, R. (2017). Online consumer trust: Trends in research. Journal of technology management &amp; innovation, 12(2), 68-79.</w:t>
      </w:r>
      <w:r>
        <w:rPr>
          <w:lang w:val="en-US"/>
        </w:rPr>
        <w:t xml:space="preserve"> </w:t>
      </w:r>
    </w:p>
    <w:p w14:paraId="364DF340" w14:textId="47776951" w:rsidR="00987FB2" w:rsidRDefault="00987FB2" w:rsidP="00DC5ADC">
      <w:pPr>
        <w:ind w:left="284" w:hanging="284"/>
        <w:rPr>
          <w:lang w:val="en-US"/>
        </w:rPr>
      </w:pPr>
      <w:r w:rsidRPr="00987FB2">
        <w:rPr>
          <w:lang w:val="en-US"/>
        </w:rPr>
        <w:t>Baumeister, R. F., Vohs, K. D., &amp; Funder, D. C. (2007). Psychology as the science of self-reports and finger movements: Whatever happened to actual behavior?. Perspectives on psychological science, 2(4), 396-403.</w:t>
      </w:r>
      <w:r>
        <w:rPr>
          <w:lang w:val="en-US"/>
        </w:rPr>
        <w:t xml:space="preserve"> </w:t>
      </w:r>
      <w:hyperlink r:id="rId13" w:history="1">
        <w:r w:rsidRPr="00C15D41">
          <w:rPr>
            <w:rStyle w:val="Hyperlink"/>
            <w:lang w:val="en-US"/>
          </w:rPr>
          <w:t>https://doi.org/10.1111/j.1745-6916.2007.00051.x</w:t>
        </w:r>
      </w:hyperlink>
      <w:r>
        <w:rPr>
          <w:lang w:val="en-US"/>
        </w:rPr>
        <w:t xml:space="preserve">. </w:t>
      </w:r>
    </w:p>
    <w:p w14:paraId="34499D86" w14:textId="4ED185DB" w:rsidR="00B71A2C" w:rsidRDefault="003B4D12" w:rsidP="00DC5ADC">
      <w:pPr>
        <w:ind w:left="284" w:hanging="284"/>
        <w:rPr>
          <w:lang w:val="en-US"/>
        </w:rPr>
      </w:pPr>
      <w:r w:rsidRPr="003B4D12">
        <w:rPr>
          <w:lang w:val="en-US"/>
        </w:rPr>
        <w:t>Baye, M. R., Morgan, J., Scholten, P., &amp; Jansen, D. (2006). Persistent price dispersion in online markets. The New Economy &amp; Beyond: Past Present and Future, Edward Elgar, S, 122-143.</w:t>
      </w:r>
      <w:r>
        <w:rPr>
          <w:lang w:val="en-US"/>
        </w:rPr>
        <w:t xml:space="preserve"> </w:t>
      </w:r>
    </w:p>
    <w:p w14:paraId="7BB0F649" w14:textId="77777777" w:rsidR="00DC5ADC" w:rsidRDefault="00DC5ADC" w:rsidP="00DC5ADC">
      <w:pPr>
        <w:ind w:left="284" w:hanging="284"/>
        <w:rPr>
          <w:lang w:val="en-US"/>
        </w:rPr>
      </w:pPr>
      <w:r w:rsidRPr="004E3F98">
        <w:rPr>
          <w:lang w:val="en-US"/>
        </w:rPr>
        <w:t>Baye, M. R., Morgan, J., &amp; Scholten, P. (2004). Temporal price dispersion: Evidence from an online consumer electronics market. Journal of Interactive Marketing, 18(4), 101-115.</w:t>
      </w:r>
      <w:r>
        <w:rPr>
          <w:lang w:val="en-US"/>
        </w:rPr>
        <w:t xml:space="preserve"> </w:t>
      </w:r>
      <w:hyperlink r:id="rId14" w:history="1">
        <w:r w:rsidRPr="00B013F3">
          <w:rPr>
            <w:rStyle w:val="Hyperlink"/>
            <w:lang w:val="en-US"/>
          </w:rPr>
          <w:t>https://doi.org/10.1002/dir.20016</w:t>
        </w:r>
      </w:hyperlink>
      <w:r>
        <w:rPr>
          <w:lang w:val="en-US"/>
        </w:rPr>
        <w:t xml:space="preserve">. </w:t>
      </w:r>
    </w:p>
    <w:p w14:paraId="4EE554DE" w14:textId="4307C40C" w:rsidR="00DC5ADC" w:rsidRDefault="00DC5ADC" w:rsidP="00DC5ADC">
      <w:pPr>
        <w:ind w:left="284" w:hanging="284"/>
        <w:rPr>
          <w:lang w:val="en-US"/>
        </w:rPr>
      </w:pPr>
      <w:r w:rsidRPr="003D731B">
        <w:rPr>
          <w:lang w:val="en-US"/>
        </w:rPr>
        <w:t>Bhatti, A., Akram, H., Basit, H. M., Khan, A. U., Raza, S. M., &amp; Naqvi, M. B. (2020). E-commerce trends during COVID-19 Pandemic. International Journal of Future Generation Communication and Networking, 13(2), 1449-1452.</w:t>
      </w:r>
      <w:r>
        <w:rPr>
          <w:lang w:val="en-US"/>
        </w:rPr>
        <w:t xml:space="preserve"> </w:t>
      </w:r>
    </w:p>
    <w:p w14:paraId="1BF8DA20" w14:textId="55C2C4C1" w:rsidR="00860FA6" w:rsidRDefault="00860FA6" w:rsidP="00DC5ADC">
      <w:pPr>
        <w:ind w:left="284" w:hanging="284"/>
        <w:rPr>
          <w:lang w:val="en-US"/>
        </w:rPr>
      </w:pPr>
      <w:r w:rsidRPr="00860FA6">
        <w:rPr>
          <w:lang w:val="en-US"/>
        </w:rPr>
        <w:lastRenderedPageBreak/>
        <w:t>Blitstein, J. L., Frentz, F., &amp; Jilcott Pitts, S. B. (2020). A mixed-method examination of reported benefits of online grocery shopping in the United States and Germany: Is health a factor?. Journal of Food Products Marketing, 26(3), 212-224.</w:t>
      </w:r>
      <w:r>
        <w:rPr>
          <w:lang w:val="en-US"/>
        </w:rPr>
        <w:t xml:space="preserve"> </w:t>
      </w:r>
      <w:hyperlink r:id="rId15" w:history="1">
        <w:r w:rsidR="00590C7D" w:rsidRPr="00C15D41">
          <w:rPr>
            <w:rStyle w:val="Hyperlink"/>
            <w:lang w:val="en-US"/>
          </w:rPr>
          <w:t>https://doi.org/10.1080/10454446.2020.1754313</w:t>
        </w:r>
      </w:hyperlink>
      <w:r w:rsidR="00590C7D">
        <w:rPr>
          <w:lang w:val="en-US"/>
        </w:rPr>
        <w:t xml:space="preserve">. </w:t>
      </w:r>
    </w:p>
    <w:p w14:paraId="4E97DACB" w14:textId="1F8AD6B0" w:rsidR="00221B45" w:rsidRDefault="00DC5ADC" w:rsidP="00C21ACA">
      <w:pPr>
        <w:ind w:left="284" w:hanging="284"/>
        <w:rPr>
          <w:lang w:val="en-US"/>
        </w:rPr>
      </w:pPr>
      <w:r w:rsidRPr="00AE0971">
        <w:rPr>
          <w:lang w:val="en-US"/>
        </w:rPr>
        <w:t>Chanaron, J.J., 2013. Innovative lifestyle: towards the life of future- an exploratory</w:t>
      </w:r>
      <w:r>
        <w:rPr>
          <w:lang w:val="en-US"/>
        </w:rPr>
        <w:t xml:space="preserve"> </w:t>
      </w:r>
      <w:r w:rsidRPr="00AE0971">
        <w:rPr>
          <w:lang w:val="en-US"/>
        </w:rPr>
        <w:t>essay. Megatrend Rev. 10 (1), 63–82</w:t>
      </w:r>
      <w:r w:rsidR="00221B45">
        <w:rPr>
          <w:lang w:val="en-US"/>
        </w:rPr>
        <w:t>.</w:t>
      </w:r>
    </w:p>
    <w:p w14:paraId="3E95BC08" w14:textId="008B6EE5" w:rsidR="00DC5ADC" w:rsidRDefault="00DC5ADC" w:rsidP="00DC5ADC">
      <w:pPr>
        <w:ind w:left="284" w:hanging="284"/>
        <w:rPr>
          <w:lang w:val="en-US"/>
        </w:rPr>
      </w:pPr>
      <w:r w:rsidRPr="00000479">
        <w:rPr>
          <w:lang w:val="en-US"/>
        </w:rPr>
        <w:t>Chawla, N., &amp; Kumar, B. (2021). E-commerce and consumer protection in India: The emerging trend. Journal of Business Ethics, 1-24.</w:t>
      </w:r>
      <w:r>
        <w:rPr>
          <w:lang w:val="en-US"/>
        </w:rPr>
        <w:t xml:space="preserve"> </w:t>
      </w:r>
      <w:hyperlink r:id="rId16" w:history="1">
        <w:r w:rsidRPr="00B013F3">
          <w:rPr>
            <w:rStyle w:val="Hyperlink"/>
            <w:lang w:val="en-US"/>
          </w:rPr>
          <w:t>https://doi.org/10.1007/s10551-021-04884-3</w:t>
        </w:r>
      </w:hyperlink>
      <w:r>
        <w:rPr>
          <w:lang w:val="en-US"/>
        </w:rPr>
        <w:t xml:space="preserve">. </w:t>
      </w:r>
    </w:p>
    <w:p w14:paraId="0029FF77" w14:textId="4996F299" w:rsidR="00CA5A3F" w:rsidRDefault="00CA5A3F" w:rsidP="00DC5ADC">
      <w:pPr>
        <w:ind w:left="284" w:hanging="284"/>
        <w:rPr>
          <w:lang w:val="en-US"/>
        </w:rPr>
      </w:pPr>
      <w:r w:rsidRPr="00CA5A3F">
        <w:rPr>
          <w:lang w:val="en-US"/>
        </w:rPr>
        <w:t>Chen, C., &amp; Li, X. (2020). The effect of online shopping festival promotion strategies on consumer participation intention. Industrial Management &amp; Data Systems.</w:t>
      </w:r>
      <w:r w:rsidR="00753EF5">
        <w:rPr>
          <w:lang w:val="en-US"/>
        </w:rPr>
        <w:t xml:space="preserve"> </w:t>
      </w:r>
      <w:r w:rsidR="00753EF5" w:rsidRPr="00753EF5">
        <w:rPr>
          <w:lang w:val="en-US"/>
        </w:rPr>
        <w:t xml:space="preserve">Vol. 120 No. 12, pp. 2375-2395. </w:t>
      </w:r>
      <w:hyperlink r:id="rId17" w:history="1">
        <w:r w:rsidR="00753EF5" w:rsidRPr="00C15D41">
          <w:rPr>
            <w:rStyle w:val="Hyperlink"/>
            <w:lang w:val="en-US"/>
          </w:rPr>
          <w:t>https://doi.org/10.1108/IMDS-11-2019-0628</w:t>
        </w:r>
      </w:hyperlink>
      <w:r w:rsidR="00753EF5">
        <w:rPr>
          <w:lang w:val="en-US"/>
        </w:rPr>
        <w:t xml:space="preserve">. </w:t>
      </w:r>
    </w:p>
    <w:p w14:paraId="115B67BC" w14:textId="77777777" w:rsidR="00DC5ADC" w:rsidRPr="00B8082D" w:rsidRDefault="00DC5ADC" w:rsidP="00DC5ADC">
      <w:pPr>
        <w:ind w:left="284" w:hanging="284"/>
        <w:rPr>
          <w:lang w:val="en-US"/>
        </w:rPr>
      </w:pPr>
      <w:r w:rsidRPr="00BF45F6">
        <w:rPr>
          <w:lang w:val="en-US"/>
        </w:rPr>
        <w:t>Chen, Y. and Barnes, S. (2007), "Initial trust and online buyer behaviour", Industrial Management &amp; Data Systems, Vol. 107 No. 1, pp. 21-36.</w:t>
      </w:r>
      <w:r>
        <w:rPr>
          <w:lang w:val="en-US"/>
        </w:rPr>
        <w:t xml:space="preserve"> </w:t>
      </w:r>
      <w:hyperlink r:id="rId18" w:history="1">
        <w:r w:rsidRPr="00B013F3">
          <w:rPr>
            <w:rStyle w:val="Hyperlink"/>
            <w:lang w:val="en-US"/>
          </w:rPr>
          <w:t>https://doi.org/10.1108/02635570710719034</w:t>
        </w:r>
      </w:hyperlink>
      <w:r>
        <w:rPr>
          <w:lang w:val="en-US"/>
        </w:rPr>
        <w:t xml:space="preserve">. </w:t>
      </w:r>
      <w:r w:rsidRPr="00BF45F6">
        <w:rPr>
          <w:lang w:val="en-US"/>
        </w:rPr>
        <w:t>.</w:t>
      </w:r>
      <w:r>
        <w:rPr>
          <w:lang w:val="en-US"/>
        </w:rPr>
        <w:t xml:space="preserve"> </w:t>
      </w:r>
    </w:p>
    <w:p w14:paraId="7AA74F31" w14:textId="77777777" w:rsidR="00DC5ADC" w:rsidRDefault="00DC5ADC" w:rsidP="00DC5ADC">
      <w:pPr>
        <w:ind w:left="284" w:hanging="284"/>
        <w:rPr>
          <w:lang w:val="en-US"/>
        </w:rPr>
      </w:pPr>
      <w:r w:rsidRPr="00CA11A8">
        <w:t xml:space="preserve">Cho, J. (2004). Likelihood to abort an online transaction: influences from cognitive evaluations, attitudes, and behavioral variables. Information &amp; Management, 41(7), 827–838. </w:t>
      </w:r>
      <w:hyperlink r:id="rId19" w:history="1">
        <w:r w:rsidRPr="008D32F8">
          <w:rPr>
            <w:rStyle w:val="Hyperlink"/>
          </w:rPr>
          <w:t>https://doi:10.1016/j.im.2003.08.013</w:t>
        </w:r>
      </w:hyperlink>
      <w:r>
        <w:rPr>
          <w:lang w:val="en-US"/>
        </w:rPr>
        <w:t xml:space="preserve">. </w:t>
      </w:r>
    </w:p>
    <w:p w14:paraId="7F95F7F8" w14:textId="77777777" w:rsidR="00DC5ADC" w:rsidRPr="00CA11A8" w:rsidRDefault="00DC5ADC" w:rsidP="00DC5ADC">
      <w:pPr>
        <w:ind w:left="284" w:hanging="284"/>
        <w:rPr>
          <w:lang w:val="en-US"/>
        </w:rPr>
      </w:pPr>
      <w:r w:rsidRPr="00236178">
        <w:rPr>
          <w:lang w:val="en-US"/>
        </w:rPr>
        <w:t>Cohen, P., West, S. G., &amp; Aiken, L. S. (2014). Applied multiple regression/correlation analysis for the behavioral sciences. Psychology press.</w:t>
      </w:r>
    </w:p>
    <w:p w14:paraId="3756D7F6" w14:textId="541EEF51" w:rsidR="00DC5ADC" w:rsidRDefault="00DC5ADC" w:rsidP="00DC5ADC">
      <w:pPr>
        <w:ind w:left="284" w:hanging="284"/>
      </w:pPr>
      <w:r w:rsidRPr="00C81DE3">
        <w:t>Falk, R. F., &amp; Miller, N. B. (1992). A primer for soft modeling. University of Akron Press.</w:t>
      </w:r>
    </w:p>
    <w:p w14:paraId="41CFCFF7" w14:textId="470EC8B2" w:rsidR="00C6142F" w:rsidRDefault="00C6142F" w:rsidP="00DC5ADC">
      <w:pPr>
        <w:ind w:left="284" w:hanging="284"/>
        <w:rPr>
          <w:lang w:val="en-US"/>
        </w:rPr>
      </w:pPr>
      <w:r w:rsidRPr="00C6142F">
        <w:rPr>
          <w:lang w:val="en-US"/>
        </w:rPr>
        <w:t xml:space="preserve">Flavián, C. and Guinalíu, M. (2006), "Consumer trust, perceived security and privacy policy: Three basic elements of loyalty to a web site", Industrial Management &amp; Data Systems, Vol. 106 No. 5, pp. 601-620. </w:t>
      </w:r>
      <w:hyperlink r:id="rId20" w:history="1">
        <w:r w:rsidRPr="00C15D41">
          <w:rPr>
            <w:rStyle w:val="Hyperlink"/>
            <w:lang w:val="en-US"/>
          </w:rPr>
          <w:t>https://doi.org/10.1108/02635570610666403</w:t>
        </w:r>
      </w:hyperlink>
      <w:r>
        <w:rPr>
          <w:lang w:val="en-US"/>
        </w:rPr>
        <w:t xml:space="preserve">. </w:t>
      </w:r>
    </w:p>
    <w:p w14:paraId="19A7BD61" w14:textId="4894C521" w:rsidR="00DC5ADC" w:rsidRDefault="00DC5ADC" w:rsidP="00DC5ADC">
      <w:pPr>
        <w:ind w:left="284" w:hanging="284"/>
        <w:rPr>
          <w:lang w:val="en-US"/>
        </w:rPr>
      </w:pPr>
      <w:r>
        <w:t>Fornell, C., &amp; Larcker, D. F. (1981). Evaluating structural equation models with unobservable variables and measurement error. Journal of Marketing Research, 18(1), 39–50</w:t>
      </w:r>
      <w:r w:rsidR="00D12E24">
        <w:rPr>
          <w:lang w:val="en-US"/>
        </w:rPr>
        <w:t>.</w:t>
      </w:r>
    </w:p>
    <w:p w14:paraId="5318F0E1" w14:textId="77777777" w:rsidR="00DC5ADC" w:rsidRDefault="00DC5ADC" w:rsidP="00DC5ADC">
      <w:pPr>
        <w:ind w:left="284" w:hanging="284"/>
        <w:rPr>
          <w:lang w:val="en-US"/>
        </w:rPr>
      </w:pPr>
      <w:r w:rsidRPr="00A95D61">
        <w:rPr>
          <w:lang w:val="en-US"/>
        </w:rPr>
        <w:t>Gabriel, J. M. O., Ogbuigwe, T. D., &amp; Ahiauzu, L. U. (2016). Online shopping systems in Nigeria: Evolution, trend and prospects. Asian Research Journal of Arts &amp; Social Sciences, 1(4), 182-276.</w:t>
      </w:r>
    </w:p>
    <w:p w14:paraId="7EDDBBE1" w14:textId="77777777" w:rsidR="00DC5ADC" w:rsidRDefault="00DC5ADC" w:rsidP="00DC5ADC">
      <w:pPr>
        <w:ind w:left="284" w:hanging="284"/>
        <w:rPr>
          <w:rStyle w:val="Hyperlink"/>
        </w:rPr>
      </w:pPr>
      <w:r>
        <w:t xml:space="preserve">Garthwaite, </w:t>
      </w:r>
      <w:r w:rsidRPr="00ED5CBB">
        <w:t>Paul H.</w:t>
      </w:r>
      <w:r>
        <w:t>,</w:t>
      </w:r>
      <w:r w:rsidRPr="00ED5CBB">
        <w:t xml:space="preserve"> (1994)</w:t>
      </w:r>
      <w:r>
        <w:t>.</w:t>
      </w:r>
      <w:r w:rsidRPr="00ED5CBB">
        <w:t xml:space="preserve"> An Interpretation of Partial Least Squares, </w:t>
      </w:r>
      <w:r w:rsidRPr="00ED5CBB">
        <w:rPr>
          <w:i/>
        </w:rPr>
        <w:t>Journal of the American Statistical Association</w:t>
      </w:r>
      <w:r w:rsidRPr="00ED5CBB">
        <w:t xml:space="preserve">, 89:425, 122-127, </w:t>
      </w:r>
      <w:hyperlink r:id="rId21" w:history="1">
        <w:r w:rsidRPr="00AB5C2D">
          <w:rPr>
            <w:rStyle w:val="Hyperlink"/>
          </w:rPr>
          <w:t>https://doi.org/10.1080/01621459.1994.10476452</w:t>
        </w:r>
      </w:hyperlink>
    </w:p>
    <w:p w14:paraId="1B7DA645" w14:textId="77777777" w:rsidR="00DC5ADC" w:rsidRDefault="00DC5ADC" w:rsidP="00DC5ADC">
      <w:pPr>
        <w:ind w:left="284" w:hanging="284"/>
        <w:rPr>
          <w:lang w:val="en-US"/>
        </w:rPr>
      </w:pPr>
      <w:r w:rsidRPr="00733D14">
        <w:lastRenderedPageBreak/>
        <w:t>Gefen, D., Straub, D., &amp; Boudreau, M. C. (2000). Structural equation modeling and regression: Guidelines for research practice. Communications of the association for information systems, 4(1), 7.</w:t>
      </w:r>
      <w:r>
        <w:t xml:space="preserve"> </w:t>
      </w:r>
      <w:hyperlink r:id="rId22" w:history="1">
        <w:r w:rsidRPr="00DC5542">
          <w:rPr>
            <w:rStyle w:val="Hyperlink"/>
          </w:rPr>
          <w:t>https://doi.org/10.17705/1CAIS.00407</w:t>
        </w:r>
      </w:hyperlink>
    </w:p>
    <w:p w14:paraId="3E605E89" w14:textId="24060748" w:rsidR="00DC5ADC" w:rsidRDefault="00DC5ADC" w:rsidP="00DC5ADC">
      <w:pPr>
        <w:ind w:left="284" w:hanging="284"/>
        <w:rPr>
          <w:lang w:val="en-US"/>
        </w:rPr>
      </w:pPr>
      <w:r w:rsidRPr="007C3049">
        <w:rPr>
          <w:lang w:val="en-US"/>
        </w:rPr>
        <w:t>Ghose, A., &amp; Yao, Y. (2011). Using transaction prices to re-examine price dispersion in electronic markets. Information Systems Research, 22(2), 269-288.</w:t>
      </w:r>
    </w:p>
    <w:p w14:paraId="16520CE8" w14:textId="3B29C3F2" w:rsidR="00735459" w:rsidRDefault="00735459" w:rsidP="00DC5ADC">
      <w:pPr>
        <w:ind w:left="284" w:hanging="284"/>
        <w:rPr>
          <w:lang w:val="en-US"/>
        </w:rPr>
      </w:pPr>
      <w:r w:rsidRPr="00735459">
        <w:rPr>
          <w:lang w:val="en-US"/>
        </w:rPr>
        <w:t>González, E. M., Meyer, J. H., &amp; Toldos, M. P. (2021). What women want? How contextual product displays influence women’s online shopping behavior. Journal of Business Research, 123, 625-641.</w:t>
      </w:r>
      <w:r>
        <w:rPr>
          <w:lang w:val="en-US"/>
        </w:rPr>
        <w:t xml:space="preserve"> </w:t>
      </w:r>
      <w:hyperlink r:id="rId23" w:history="1">
        <w:r w:rsidRPr="00C15D41">
          <w:rPr>
            <w:rStyle w:val="Hyperlink"/>
            <w:lang w:val="en-US"/>
          </w:rPr>
          <w:t>https://doi.org/10.1016/j.jbusres.2020.10.002</w:t>
        </w:r>
      </w:hyperlink>
      <w:r>
        <w:rPr>
          <w:lang w:val="en-US"/>
        </w:rPr>
        <w:t xml:space="preserve">. </w:t>
      </w:r>
    </w:p>
    <w:p w14:paraId="121793D3" w14:textId="77777777" w:rsidR="00DC5ADC" w:rsidRDefault="00DC5ADC" w:rsidP="00DC5ADC">
      <w:pPr>
        <w:ind w:left="284" w:hanging="284"/>
        <w:rPr>
          <w:lang w:val="en-US"/>
        </w:rPr>
      </w:pPr>
      <w:r w:rsidRPr="00621E04">
        <w:rPr>
          <w:lang w:val="en-US"/>
        </w:rPr>
        <w:t>Groß, M., &amp; Sohn, S. (2021). Understanding the consumer acceptance of mobile shopping: the role of consumer shopping orientations and mobile shopping touchpoints. The International Review of Retail, Distribution and Consumer Research, 31(1), 36-58.</w:t>
      </w:r>
      <w:r>
        <w:rPr>
          <w:lang w:val="en-US"/>
        </w:rPr>
        <w:t xml:space="preserve"> </w:t>
      </w:r>
      <w:hyperlink r:id="rId24" w:history="1">
        <w:r w:rsidRPr="00B013F3">
          <w:rPr>
            <w:rStyle w:val="Hyperlink"/>
            <w:lang w:val="en-US"/>
          </w:rPr>
          <w:t>https://doi.org/10.1080/09593969.2020.1852096</w:t>
        </w:r>
      </w:hyperlink>
      <w:r>
        <w:rPr>
          <w:lang w:val="en-US"/>
        </w:rPr>
        <w:t xml:space="preserve">. </w:t>
      </w:r>
    </w:p>
    <w:p w14:paraId="2D8EC844" w14:textId="77777777" w:rsidR="00DC5ADC" w:rsidRDefault="00DC5ADC" w:rsidP="00DC5ADC">
      <w:pPr>
        <w:ind w:left="284" w:hanging="284"/>
      </w:pPr>
      <w:r>
        <w:t>Hair, J. F., Black, W. C., Babin, B. J., &amp; Anderson, R. E. (2014). Multivariate data analysis (8th ed.). New Jersey, NJ: Pearson Education.</w:t>
      </w:r>
    </w:p>
    <w:p w14:paraId="59A59E89" w14:textId="77777777" w:rsidR="00DC5ADC" w:rsidRDefault="00DC5ADC" w:rsidP="00DC5ADC">
      <w:pPr>
        <w:ind w:left="284" w:hanging="284"/>
        <w:rPr>
          <w:lang w:val="en-US"/>
        </w:rPr>
      </w:pPr>
      <w:r w:rsidRPr="00512369">
        <w:rPr>
          <w:lang w:val="en-US"/>
        </w:rPr>
        <w:t>Hair, J. F., Risher, J. J., Sarstedt, M., &amp; Ringle, C. M. (2019). When to use and how to report the results of PLS-SEM. European business review.</w:t>
      </w:r>
      <w:r>
        <w:rPr>
          <w:lang w:val="en-US"/>
        </w:rPr>
        <w:t xml:space="preserve"> </w:t>
      </w:r>
      <w:hyperlink r:id="rId25" w:history="1">
        <w:r w:rsidRPr="006E7E8E">
          <w:rPr>
            <w:rStyle w:val="Hyperlink"/>
            <w:lang w:val="en-US"/>
          </w:rPr>
          <w:t>https://doi.org/10.1108/EBR-11-2018-0203</w:t>
        </w:r>
      </w:hyperlink>
      <w:r>
        <w:rPr>
          <w:lang w:val="en-US"/>
        </w:rPr>
        <w:t xml:space="preserve">. </w:t>
      </w:r>
    </w:p>
    <w:p w14:paraId="41BFD2B3" w14:textId="77777777" w:rsidR="00DC5ADC" w:rsidRPr="00777021" w:rsidRDefault="00DC5ADC" w:rsidP="00DC5ADC">
      <w:pPr>
        <w:ind w:left="284" w:hanging="284"/>
        <w:rPr>
          <w:lang w:val="en-US"/>
        </w:rPr>
      </w:pPr>
      <w:r w:rsidRPr="00187D22">
        <w:rPr>
          <w:lang w:val="en-US"/>
        </w:rPr>
        <w:t>Hamid,</w:t>
      </w:r>
      <w:r>
        <w:rPr>
          <w:lang w:val="en-US"/>
        </w:rPr>
        <w:t xml:space="preserve"> A.</w:t>
      </w:r>
      <w:r w:rsidRPr="00187D22">
        <w:rPr>
          <w:lang w:val="en-US"/>
        </w:rPr>
        <w:t xml:space="preserve"> N., Ibrahim, N. A., Ibrahim, N. A., Ariffin, N., Taharin, R., &amp; Jelani, F. A. (2019). Factors affecting tax compliance among Malaysian SMEs in e-commerce business. International Journal of Asian Social Science, 9(1), 74-85.</w:t>
      </w:r>
      <w:r>
        <w:rPr>
          <w:lang w:val="en-US"/>
        </w:rPr>
        <w:t xml:space="preserve"> </w:t>
      </w:r>
      <w:hyperlink r:id="rId26" w:history="1">
        <w:r w:rsidRPr="00B013F3">
          <w:rPr>
            <w:rStyle w:val="Hyperlink"/>
            <w:lang w:val="en-US"/>
          </w:rPr>
          <w:t>https://doi.org/10.18488/journal.1.2019.91.74.85</w:t>
        </w:r>
      </w:hyperlink>
      <w:r>
        <w:rPr>
          <w:lang w:val="en-US"/>
        </w:rPr>
        <w:t xml:space="preserve">. </w:t>
      </w:r>
    </w:p>
    <w:p w14:paraId="7702EA33" w14:textId="689C7DD9" w:rsidR="00DC5ADC" w:rsidRDefault="00DC5ADC" w:rsidP="00DC5ADC">
      <w:pPr>
        <w:ind w:left="284" w:hanging="284"/>
      </w:pPr>
      <w:r w:rsidRPr="00AA0E54">
        <w:t xml:space="preserve">Häubl, G., &amp; Trifts, V. (2000). Consumer decision making in online shopping environments: The effects of interactive decision aids. </w:t>
      </w:r>
      <w:r>
        <w:t>Transaksi</w:t>
      </w:r>
      <w:r w:rsidRPr="00AA0E54">
        <w:t>ing science, 19(1), 4-21.</w:t>
      </w:r>
    </w:p>
    <w:p w14:paraId="5694CA11" w14:textId="3C7895FD" w:rsidR="006B2B69" w:rsidRDefault="006B2B69" w:rsidP="00DC5ADC">
      <w:pPr>
        <w:ind w:left="284" w:hanging="284"/>
        <w:rPr>
          <w:lang w:val="en-US"/>
        </w:rPr>
      </w:pPr>
      <w:r w:rsidRPr="006B2B69">
        <w:t>Hong, I. B., &amp; Cho, H. (2011). The impact of consumer trust on attitudinal loyalty and purchase intentions in B2C e-marketplaces: Intermediary trust vs. seller trust. International journal of information management, 31(5), 469-479.</w:t>
      </w:r>
      <w:r>
        <w:rPr>
          <w:lang w:val="en-US"/>
        </w:rPr>
        <w:t xml:space="preserve"> </w:t>
      </w:r>
      <w:hyperlink r:id="rId27" w:history="1">
        <w:r w:rsidRPr="00C15D41">
          <w:rPr>
            <w:rStyle w:val="Hyperlink"/>
            <w:lang w:val="en-US"/>
          </w:rPr>
          <w:t>https://doi.org/10.1016/j.ijinfomgt.2011.02.001</w:t>
        </w:r>
      </w:hyperlink>
      <w:r>
        <w:rPr>
          <w:lang w:val="en-US"/>
        </w:rPr>
        <w:t xml:space="preserve">. </w:t>
      </w:r>
    </w:p>
    <w:p w14:paraId="791EDBAE" w14:textId="3B67E1D0" w:rsidR="00E16373" w:rsidRDefault="00E4095E" w:rsidP="00DC5ADC">
      <w:pPr>
        <w:ind w:left="284" w:hanging="284"/>
        <w:rPr>
          <w:lang w:val="en-US"/>
        </w:rPr>
      </w:pPr>
      <w:r w:rsidRPr="00E4095E">
        <w:rPr>
          <w:lang w:val="en-US"/>
        </w:rPr>
        <w:t>Huseynov, F., &amp; Özkan Yıldırım, S. (2019). Online consumer typologies and their shopping behaviors in B2C e-commerce platforms. Sage Open, 9(2), 2158244019854639.</w:t>
      </w:r>
      <w:r>
        <w:rPr>
          <w:lang w:val="en-US"/>
        </w:rPr>
        <w:t xml:space="preserve"> </w:t>
      </w:r>
      <w:hyperlink r:id="rId28" w:history="1">
        <w:r w:rsidRPr="00C15D41">
          <w:rPr>
            <w:rStyle w:val="Hyperlink"/>
            <w:lang w:val="en-US"/>
          </w:rPr>
          <w:t>https://doi.org/10.1177/2158244019854639</w:t>
        </w:r>
      </w:hyperlink>
      <w:r>
        <w:rPr>
          <w:lang w:val="en-US"/>
        </w:rPr>
        <w:t xml:space="preserve">. </w:t>
      </w:r>
    </w:p>
    <w:p w14:paraId="5A4E8D13" w14:textId="1D921301" w:rsidR="00BB191F" w:rsidRPr="006B2B69" w:rsidRDefault="00BB191F" w:rsidP="00DC5ADC">
      <w:pPr>
        <w:ind w:left="284" w:hanging="284"/>
        <w:rPr>
          <w:lang w:val="en-US"/>
        </w:rPr>
      </w:pPr>
      <w:r w:rsidRPr="00BB191F">
        <w:rPr>
          <w:lang w:val="en-US"/>
        </w:rPr>
        <w:t>J</w:t>
      </w:r>
      <w:r>
        <w:rPr>
          <w:lang w:val="en-US"/>
        </w:rPr>
        <w:t>amal</w:t>
      </w:r>
      <w:r w:rsidRPr="00BB191F">
        <w:rPr>
          <w:lang w:val="en-US"/>
        </w:rPr>
        <w:t>, A. S., &amp; A</w:t>
      </w:r>
      <w:r>
        <w:rPr>
          <w:lang w:val="en-US"/>
        </w:rPr>
        <w:t>hmed</w:t>
      </w:r>
      <w:r w:rsidRPr="00BB191F">
        <w:rPr>
          <w:lang w:val="en-US"/>
        </w:rPr>
        <w:t>, A. F. (2007, July). Socio-cultural factors influencing consumer adoption of online transactions. In Eighth World Congress on the Management of eBusiness (WCMeB 2007) (pp. 5-5). IEEE.</w:t>
      </w:r>
      <w:r>
        <w:rPr>
          <w:lang w:val="en-US"/>
        </w:rPr>
        <w:t xml:space="preserve"> </w:t>
      </w:r>
      <w:hyperlink r:id="rId29" w:history="1">
        <w:r w:rsidRPr="00C15D41">
          <w:rPr>
            <w:rStyle w:val="Hyperlink"/>
            <w:lang w:val="en-US"/>
          </w:rPr>
          <w:t>https://doi.org/10.1109/WCMEB.2007.60</w:t>
        </w:r>
      </w:hyperlink>
      <w:r>
        <w:rPr>
          <w:lang w:val="en-US"/>
        </w:rPr>
        <w:t xml:space="preserve">. </w:t>
      </w:r>
    </w:p>
    <w:p w14:paraId="45DFAA2D" w14:textId="77777777" w:rsidR="00DC5ADC" w:rsidRDefault="00DC5ADC" w:rsidP="00DC5ADC">
      <w:pPr>
        <w:ind w:left="284" w:hanging="284"/>
        <w:rPr>
          <w:lang w:val="en-US"/>
        </w:rPr>
      </w:pPr>
      <w:r w:rsidRPr="0062325B">
        <w:lastRenderedPageBreak/>
        <w:t>Jensen, K. L., Yenerall, J., Chen, X., &amp; Yu, T. E. (2021). US Consumers’ Online Shopping Behaviors and Intentions During and After the COVID-19 Pandemic. Journal of Agricultural and Applied Economics, 53(3), 416-434.</w:t>
      </w:r>
      <w:r>
        <w:rPr>
          <w:lang w:val="en-US"/>
        </w:rPr>
        <w:t xml:space="preserve"> </w:t>
      </w:r>
      <w:hyperlink r:id="rId30" w:history="1">
        <w:r w:rsidRPr="00B013F3">
          <w:rPr>
            <w:rStyle w:val="Hyperlink"/>
            <w:lang w:val="en-US"/>
          </w:rPr>
          <w:t>https://doi.org/10.1017/aae.2021.15</w:t>
        </w:r>
      </w:hyperlink>
      <w:r>
        <w:rPr>
          <w:lang w:val="en-US"/>
        </w:rPr>
        <w:t>.</w:t>
      </w:r>
    </w:p>
    <w:p w14:paraId="30905FBC" w14:textId="77777777" w:rsidR="00DC5ADC" w:rsidRPr="0062325B" w:rsidRDefault="00DC5ADC" w:rsidP="00DC5ADC">
      <w:pPr>
        <w:ind w:left="284" w:hanging="284"/>
        <w:rPr>
          <w:lang w:val="en-US"/>
        </w:rPr>
      </w:pPr>
      <w:r w:rsidRPr="007C7F7B">
        <w:rPr>
          <w:lang w:val="en-US"/>
        </w:rPr>
        <w:t>Jih, W. J. K., &amp; Lee, S. F. (2004). An exploratory analysis of relationships between cellular phone uses' shopping motivators and lifestyle indicators. Journal of Computer Information Systems, 44(2), 65-73.</w:t>
      </w:r>
      <w:r>
        <w:rPr>
          <w:lang w:val="en-US"/>
        </w:rPr>
        <w:t xml:space="preserve"> </w:t>
      </w:r>
      <w:hyperlink r:id="rId31" w:history="1">
        <w:r w:rsidRPr="00B013F3">
          <w:rPr>
            <w:rStyle w:val="Hyperlink"/>
            <w:lang w:val="en-US"/>
          </w:rPr>
          <w:t>https://doi.org/10.1080/08874417.2004.11647568</w:t>
        </w:r>
      </w:hyperlink>
      <w:r>
        <w:rPr>
          <w:lang w:val="en-US"/>
        </w:rPr>
        <w:t xml:space="preserve">. </w:t>
      </w:r>
    </w:p>
    <w:p w14:paraId="2DB56B8A" w14:textId="321619E6" w:rsidR="00DC5ADC" w:rsidRDefault="00DC5ADC" w:rsidP="00DC5ADC">
      <w:pPr>
        <w:ind w:left="284" w:hanging="284"/>
      </w:pPr>
      <w:r w:rsidRPr="00DF2009">
        <w:t>Jin, D. Y. (2003). E-tax or e-commerce: The debate on taxing electronic commerce transactions. Journal of Internet Commerce, 2(1), 65-87.</w:t>
      </w:r>
    </w:p>
    <w:p w14:paraId="14EC5DEE" w14:textId="1203AB0B" w:rsidR="004F019D" w:rsidRDefault="004F019D" w:rsidP="00DC5ADC">
      <w:pPr>
        <w:ind w:left="284" w:hanging="284"/>
        <w:rPr>
          <w:lang w:val="en-US"/>
        </w:rPr>
      </w:pPr>
      <w:r w:rsidRPr="004F019D">
        <w:t>Jones, R., &amp; Basu, S. (2002). Taxation of electronic commerce: A developing problem. International Review of Law, Computers &amp; Technology, 16(1), 35-51.</w:t>
      </w:r>
      <w:r>
        <w:rPr>
          <w:lang w:val="en-US"/>
        </w:rPr>
        <w:t xml:space="preserve"> </w:t>
      </w:r>
      <w:hyperlink r:id="rId32" w:history="1">
        <w:r w:rsidRPr="00C15D41">
          <w:rPr>
            <w:rStyle w:val="Hyperlink"/>
            <w:lang w:val="en-US"/>
          </w:rPr>
          <w:t>https://doi.org/10.1080/13600860220136093</w:t>
        </w:r>
      </w:hyperlink>
      <w:r>
        <w:rPr>
          <w:lang w:val="en-US"/>
        </w:rPr>
        <w:t xml:space="preserve">. </w:t>
      </w:r>
    </w:p>
    <w:p w14:paraId="31C58536" w14:textId="5F2A7952" w:rsidR="00CE480F" w:rsidRPr="004F019D" w:rsidRDefault="00CE480F" w:rsidP="00DC5ADC">
      <w:pPr>
        <w:ind w:left="284" w:hanging="284"/>
        <w:rPr>
          <w:lang w:val="en-US"/>
        </w:rPr>
      </w:pPr>
      <w:r w:rsidRPr="00CE480F">
        <w:rPr>
          <w:lang w:val="en-US"/>
        </w:rPr>
        <w:t>Karine, H. A. J. I. (2021). E-commerce development in rural and remote areas of BRICS countries. Journal of Integrative Agriculture, 20(4), 979-997.</w:t>
      </w:r>
      <w:r>
        <w:rPr>
          <w:lang w:val="en-US"/>
        </w:rPr>
        <w:t xml:space="preserve"> </w:t>
      </w:r>
      <w:hyperlink r:id="rId33" w:history="1">
        <w:r w:rsidRPr="00C15D41">
          <w:rPr>
            <w:rStyle w:val="Hyperlink"/>
            <w:lang w:val="en-US"/>
          </w:rPr>
          <w:t>https://doi.org/10.1016/S2095-3119(20)63451-7</w:t>
        </w:r>
      </w:hyperlink>
      <w:r>
        <w:rPr>
          <w:lang w:val="en-US"/>
        </w:rPr>
        <w:t xml:space="preserve">. </w:t>
      </w:r>
    </w:p>
    <w:p w14:paraId="23EB6879" w14:textId="77777777" w:rsidR="00DC5ADC" w:rsidRDefault="00DC5ADC" w:rsidP="00DC5ADC">
      <w:pPr>
        <w:ind w:left="284" w:hanging="284"/>
        <w:rPr>
          <w:lang w:val="en-US"/>
        </w:rPr>
      </w:pPr>
      <w:r w:rsidRPr="004B7925">
        <w:t>Kim, G. S. (2007). The service recovery strategies, customer satisfaction, customer loyalty. Asian Journal on Quality.</w:t>
      </w:r>
      <w:r>
        <w:rPr>
          <w:lang w:val="en-US"/>
        </w:rPr>
        <w:t xml:space="preserve"> </w:t>
      </w:r>
      <w:hyperlink r:id="rId34" w:history="1">
        <w:r w:rsidRPr="006E7E8E">
          <w:rPr>
            <w:rStyle w:val="Hyperlink"/>
            <w:lang w:val="en-US"/>
          </w:rPr>
          <w:t>https://doi.org/10.1108/15982688200700005</w:t>
        </w:r>
      </w:hyperlink>
      <w:r>
        <w:rPr>
          <w:lang w:val="en-US"/>
        </w:rPr>
        <w:t xml:space="preserve">. </w:t>
      </w:r>
    </w:p>
    <w:p w14:paraId="1913AD8C" w14:textId="17E8E5DB" w:rsidR="00DC5ADC" w:rsidRDefault="00DC5ADC" w:rsidP="00DC5ADC">
      <w:pPr>
        <w:ind w:left="284" w:hanging="284"/>
        <w:rPr>
          <w:lang w:val="en-US"/>
        </w:rPr>
      </w:pPr>
      <w:r w:rsidRPr="009623FD">
        <w:rPr>
          <w:lang w:val="en-US"/>
        </w:rPr>
        <w:t>Kim, R. Y. (2020). The impact of COVID-19 on consumers: Preparing for digital sales. IEEE Engineering Management Review, 48(3), 212-218.</w:t>
      </w:r>
      <w:r>
        <w:rPr>
          <w:lang w:val="en-US"/>
        </w:rPr>
        <w:t xml:space="preserve"> </w:t>
      </w:r>
      <w:hyperlink r:id="rId35" w:history="1">
        <w:r w:rsidRPr="00B013F3">
          <w:rPr>
            <w:rStyle w:val="Hyperlink"/>
            <w:lang w:val="en-US"/>
          </w:rPr>
          <w:t>https://doi.org/10.1109/EMR.2020.2990115</w:t>
        </w:r>
      </w:hyperlink>
      <w:r>
        <w:rPr>
          <w:lang w:val="en-US"/>
        </w:rPr>
        <w:t xml:space="preserve">. </w:t>
      </w:r>
    </w:p>
    <w:p w14:paraId="5CC6CB63" w14:textId="394B93B5" w:rsidR="002E0375" w:rsidRDefault="002E0375" w:rsidP="00DC5ADC">
      <w:pPr>
        <w:ind w:left="284" w:hanging="284"/>
        <w:rPr>
          <w:lang w:val="en-US"/>
        </w:rPr>
      </w:pPr>
      <w:r w:rsidRPr="002E0375">
        <w:rPr>
          <w:lang w:val="en-US"/>
        </w:rPr>
        <w:t>Kim, Y. K., &amp; Sullivan, P. (2019). Emotional branding speaks to consumers’ heart: The case of fashion brands. Fashion and Textiles, 6(1), 1-16.</w:t>
      </w:r>
      <w:r>
        <w:rPr>
          <w:lang w:val="en-US"/>
        </w:rPr>
        <w:t xml:space="preserve"> </w:t>
      </w:r>
      <w:hyperlink r:id="rId36" w:history="1">
        <w:r w:rsidRPr="00C15D41">
          <w:rPr>
            <w:rStyle w:val="Hyperlink"/>
            <w:lang w:val="en-US"/>
          </w:rPr>
          <w:t>https://doi.org/10.1186/s40691-018-0164-y</w:t>
        </w:r>
      </w:hyperlink>
      <w:r>
        <w:rPr>
          <w:lang w:val="en-US"/>
        </w:rPr>
        <w:t xml:space="preserve">. </w:t>
      </w:r>
    </w:p>
    <w:p w14:paraId="22F58131" w14:textId="72A07519" w:rsidR="00DC5ADC" w:rsidRDefault="00DC5ADC" w:rsidP="00DC5ADC">
      <w:pPr>
        <w:ind w:left="284" w:hanging="284"/>
      </w:pPr>
      <w:r>
        <w:t>Kline, R. B. (2015). Principles and practice of structural equation modeling. New York: Guilford.</w:t>
      </w:r>
    </w:p>
    <w:p w14:paraId="10B942AF" w14:textId="38273794" w:rsidR="005E1223" w:rsidRPr="003E1510" w:rsidRDefault="003E1510" w:rsidP="00DC5ADC">
      <w:pPr>
        <w:ind w:left="284" w:hanging="284"/>
        <w:rPr>
          <w:lang w:val="en-US"/>
        </w:rPr>
      </w:pPr>
      <w:r w:rsidRPr="003E1510">
        <w:t>Koyuncu, C., &amp; Bhattacharya, G. (2004). The impacts of quickness, price, payment risk, and delivery issues on on-line shopping. The Journal of Socio-Economics, 33(2), 241-251.</w:t>
      </w:r>
      <w:r>
        <w:rPr>
          <w:lang w:val="en-US"/>
        </w:rPr>
        <w:t xml:space="preserve"> </w:t>
      </w:r>
      <w:hyperlink r:id="rId37" w:history="1">
        <w:r w:rsidR="00236C16" w:rsidRPr="00C15D41">
          <w:rPr>
            <w:rStyle w:val="Hyperlink"/>
            <w:lang w:val="en-US"/>
          </w:rPr>
          <w:t>https://doi.org/10.1016/j.socec.2003.12.011</w:t>
        </w:r>
      </w:hyperlink>
      <w:r w:rsidR="00236C16">
        <w:rPr>
          <w:lang w:val="en-US"/>
        </w:rPr>
        <w:t xml:space="preserve">. </w:t>
      </w:r>
    </w:p>
    <w:p w14:paraId="3F6A0A85" w14:textId="0C152572" w:rsidR="00DC5ADC" w:rsidRDefault="00DC5ADC" w:rsidP="00DC5ADC">
      <w:pPr>
        <w:ind w:left="284" w:hanging="284"/>
        <w:rPr>
          <w:lang w:val="en-US"/>
        </w:rPr>
      </w:pPr>
      <w:r w:rsidRPr="00831B7E">
        <w:t>Ladhari, R., Gonthier, J., &amp; Lajante, M. (2019). Generation Y and online fashion shopping: Orientations and profiles. Journal of retailing and Consumer Services, 48, 113-121.</w:t>
      </w:r>
      <w:r>
        <w:rPr>
          <w:lang w:val="en-US"/>
        </w:rPr>
        <w:t xml:space="preserve"> </w:t>
      </w:r>
      <w:hyperlink r:id="rId38" w:history="1">
        <w:r w:rsidRPr="00B013F3">
          <w:rPr>
            <w:rStyle w:val="Hyperlink"/>
            <w:lang w:val="en-US"/>
          </w:rPr>
          <w:t>https://doi.org/10.1016/j.jretconser.2019.02.003</w:t>
        </w:r>
      </w:hyperlink>
      <w:r>
        <w:rPr>
          <w:lang w:val="en-US"/>
        </w:rPr>
        <w:t xml:space="preserve">. </w:t>
      </w:r>
    </w:p>
    <w:p w14:paraId="224A3612" w14:textId="73EE5B55" w:rsidR="00814B24" w:rsidRDefault="00814B24" w:rsidP="00DC5ADC">
      <w:pPr>
        <w:ind w:left="284" w:hanging="284"/>
        <w:rPr>
          <w:lang w:val="en-US"/>
        </w:rPr>
      </w:pPr>
      <w:r w:rsidRPr="00814B24">
        <w:rPr>
          <w:lang w:val="en-US"/>
        </w:rPr>
        <w:t>Lestari, D. (2019). Measuring e-commerce adoption behaviour among gen-Z in Jakarta, Indonesia. Economic Analysis and Policy, 64, 103-115.</w:t>
      </w:r>
      <w:r>
        <w:rPr>
          <w:lang w:val="en-US"/>
        </w:rPr>
        <w:t xml:space="preserve"> </w:t>
      </w:r>
      <w:hyperlink r:id="rId39" w:history="1">
        <w:r w:rsidRPr="00C15D41">
          <w:rPr>
            <w:rStyle w:val="Hyperlink"/>
            <w:lang w:val="en-US"/>
          </w:rPr>
          <w:t>https://doi.org/10.1016/j.eap.2019.08.004</w:t>
        </w:r>
      </w:hyperlink>
      <w:r>
        <w:rPr>
          <w:lang w:val="en-US"/>
        </w:rPr>
        <w:t xml:space="preserve">. </w:t>
      </w:r>
    </w:p>
    <w:p w14:paraId="1A32B2AF" w14:textId="030B5468" w:rsidR="001323C9" w:rsidRDefault="001323C9" w:rsidP="00DC5ADC">
      <w:pPr>
        <w:ind w:left="284" w:hanging="284"/>
        <w:rPr>
          <w:lang w:val="en-US"/>
        </w:rPr>
      </w:pPr>
      <w:r w:rsidRPr="001323C9">
        <w:rPr>
          <w:lang w:val="en-US"/>
        </w:rPr>
        <w:lastRenderedPageBreak/>
        <w:t>Lin, Y. (2019). E-urbanism: E-commerce, migration, and the transformation of Taobao villages in urban China. Cities, 91, 202-212.</w:t>
      </w:r>
      <w:r>
        <w:rPr>
          <w:lang w:val="en-US"/>
        </w:rPr>
        <w:t xml:space="preserve"> </w:t>
      </w:r>
      <w:hyperlink r:id="rId40" w:history="1">
        <w:r w:rsidRPr="00C15D41">
          <w:rPr>
            <w:rStyle w:val="Hyperlink"/>
            <w:lang w:val="en-US"/>
          </w:rPr>
          <w:t>https://doi.org/10.1016/j.cities.2018.11.020</w:t>
        </w:r>
      </w:hyperlink>
      <w:r>
        <w:rPr>
          <w:lang w:val="en-US"/>
        </w:rPr>
        <w:t xml:space="preserve">. </w:t>
      </w:r>
    </w:p>
    <w:p w14:paraId="3780B050" w14:textId="1AFEBA7C" w:rsidR="00AF2D47" w:rsidRDefault="00AF2D47" w:rsidP="00DC5ADC">
      <w:pPr>
        <w:ind w:left="284" w:hanging="284"/>
        <w:rPr>
          <w:lang w:val="en-US"/>
        </w:rPr>
      </w:pPr>
      <w:r w:rsidRPr="00AF2D47">
        <w:rPr>
          <w:lang w:val="en-US"/>
        </w:rPr>
        <w:t>Mahmood, M. A., Bagchi, K., &amp; Ford, T. C. (2004). On-line shopping behavior: Cross-country empirical research. International Journal of Electronic Commerce, 9(1), 9-30.</w:t>
      </w:r>
      <w:r>
        <w:rPr>
          <w:lang w:val="en-US"/>
        </w:rPr>
        <w:t xml:space="preserve"> </w:t>
      </w:r>
      <w:hyperlink r:id="rId41" w:history="1">
        <w:r w:rsidRPr="00C15D41">
          <w:rPr>
            <w:rStyle w:val="Hyperlink"/>
            <w:lang w:val="en-US"/>
          </w:rPr>
          <w:t>https://doi.org/10.1080/10864415.2004.11044321</w:t>
        </w:r>
      </w:hyperlink>
      <w:r>
        <w:rPr>
          <w:lang w:val="en-US"/>
        </w:rPr>
        <w:t xml:space="preserve">. </w:t>
      </w:r>
    </w:p>
    <w:p w14:paraId="6222625C" w14:textId="77777777" w:rsidR="00DC5ADC" w:rsidRPr="00831B7E" w:rsidRDefault="00DC5ADC" w:rsidP="00DC5ADC">
      <w:pPr>
        <w:ind w:left="284" w:hanging="284"/>
        <w:rPr>
          <w:lang w:val="en-US"/>
        </w:rPr>
      </w:pPr>
      <w:r w:rsidRPr="00B50663">
        <w:rPr>
          <w:lang w:val="en-US"/>
        </w:rPr>
        <w:t xml:space="preserve">Mallapragada, G., Chandukala, S. R., &amp; Liu, Q. (2016). Exploring the Effects of “What” (Product) and “Where” (Website) Characteristics on Online Shopping Behavior. Journal of Marketing, 80(2), 21–38. </w:t>
      </w:r>
      <w:hyperlink r:id="rId42" w:history="1">
        <w:r w:rsidRPr="00B013F3">
          <w:rPr>
            <w:rStyle w:val="Hyperlink"/>
            <w:lang w:val="en-US"/>
          </w:rPr>
          <w:t>https://doi.org/10.1509/jm.15.0138</w:t>
        </w:r>
      </w:hyperlink>
      <w:r>
        <w:rPr>
          <w:lang w:val="en-US"/>
        </w:rPr>
        <w:t xml:space="preserve">. </w:t>
      </w:r>
    </w:p>
    <w:p w14:paraId="5C245FA7" w14:textId="77777777" w:rsidR="00DC5ADC" w:rsidRPr="000C7BE7" w:rsidRDefault="00DC5ADC" w:rsidP="00DC5ADC">
      <w:pPr>
        <w:ind w:left="284" w:hanging="284"/>
        <w:rPr>
          <w:lang w:val="en-US"/>
        </w:rPr>
      </w:pPr>
      <w:r w:rsidRPr="000C7BE7">
        <w:t>Marriott, H. R., Williams, M. D., &amp; Dwivedi, Y. K. (2017). What do we know about consumer m-shopping behaviour?. International Journal of Retail &amp; Distribution Management.</w:t>
      </w:r>
      <w:r>
        <w:rPr>
          <w:lang w:val="en-US"/>
        </w:rPr>
        <w:t xml:space="preserve"> 46(6). </w:t>
      </w:r>
      <w:r w:rsidRPr="000C7BE7">
        <w:rPr>
          <w:lang w:val="en-US"/>
        </w:rPr>
        <w:t xml:space="preserve">pp. 568-586. </w:t>
      </w:r>
      <w:hyperlink r:id="rId43" w:history="1">
        <w:r w:rsidRPr="00B013F3">
          <w:rPr>
            <w:rStyle w:val="Hyperlink"/>
            <w:lang w:val="en-US"/>
          </w:rPr>
          <w:t>https://doi.org/10.1108/IJRDM-09-2016-0164</w:t>
        </w:r>
      </w:hyperlink>
      <w:r>
        <w:rPr>
          <w:lang w:val="en-US"/>
        </w:rPr>
        <w:t xml:space="preserve">.  </w:t>
      </w:r>
    </w:p>
    <w:p w14:paraId="7A7669A6" w14:textId="6CA7AC18" w:rsidR="00DC5ADC" w:rsidRDefault="00DC5ADC" w:rsidP="00DC5ADC">
      <w:pPr>
        <w:ind w:left="284" w:hanging="284"/>
        <w:rPr>
          <w:lang w:val="en-US"/>
        </w:rPr>
      </w:pPr>
      <w:r w:rsidRPr="005A7E71">
        <w:rPr>
          <w:lang w:val="en-US"/>
        </w:rPr>
        <w:t xml:space="preserve">McKenzie. </w:t>
      </w:r>
      <w:r>
        <w:rPr>
          <w:lang w:val="en-US"/>
        </w:rPr>
        <w:t xml:space="preserve">B. </w:t>
      </w:r>
      <w:r w:rsidRPr="005A7E71">
        <w:rPr>
          <w:lang w:val="en-US"/>
        </w:rPr>
        <w:t>(2019). Indonesia: New Regulation on Electronic System and Transactions. Retrieved from: https://www. bakermckenzie.com/en/insight/publications/2019/10/new-regulation-electronic-system-and-transactions</w:t>
      </w:r>
      <w:r w:rsidR="0046186E">
        <w:rPr>
          <w:lang w:val="en-US"/>
        </w:rPr>
        <w:t>.</w:t>
      </w:r>
    </w:p>
    <w:p w14:paraId="778202DC" w14:textId="1D0815DB" w:rsidR="0046186E" w:rsidRPr="004B7925" w:rsidRDefault="0046186E" w:rsidP="00DC5ADC">
      <w:pPr>
        <w:ind w:left="284" w:hanging="284"/>
        <w:rPr>
          <w:lang w:val="en-US"/>
        </w:rPr>
      </w:pPr>
      <w:r w:rsidRPr="0046186E">
        <w:rPr>
          <w:lang w:val="en-US"/>
        </w:rPr>
        <w:t>McLure, C. E. (2003). The value added tax on electronic commerce in the European Union. International Tax and Public Finance, 10(6), 753-762.</w:t>
      </w:r>
      <w:r>
        <w:rPr>
          <w:lang w:val="en-US"/>
        </w:rPr>
        <w:t xml:space="preserve"> </w:t>
      </w:r>
      <w:hyperlink r:id="rId44" w:history="1">
        <w:r w:rsidRPr="00C15D41">
          <w:rPr>
            <w:rStyle w:val="Hyperlink"/>
            <w:lang w:val="en-US"/>
          </w:rPr>
          <w:t>https://doi.org/10.1023/A:1026394207651</w:t>
        </w:r>
      </w:hyperlink>
      <w:r>
        <w:rPr>
          <w:lang w:val="en-US"/>
        </w:rPr>
        <w:t xml:space="preserve">. </w:t>
      </w:r>
    </w:p>
    <w:p w14:paraId="2BBFF94C" w14:textId="1DA2E72B" w:rsidR="00DC5ADC" w:rsidRDefault="00DC5ADC" w:rsidP="00DC5ADC">
      <w:pPr>
        <w:ind w:left="284" w:hanging="284"/>
        <w:rPr>
          <w:lang w:val="en-US"/>
        </w:rPr>
      </w:pPr>
      <w:r w:rsidRPr="005718B9">
        <w:t>Night, S., &amp; Bananuka, J. (2019). The mediating role of adoption of an electronic tax system in the relationship between attitude towards electronic tax system and tax compliance. Journal of Economics, Finance and Administrative Science.</w:t>
      </w:r>
      <w:r>
        <w:rPr>
          <w:lang w:val="en-US"/>
        </w:rPr>
        <w:t xml:space="preserve"> 25 (49</w:t>
      </w:r>
      <w:r w:rsidR="009C405F">
        <w:rPr>
          <w:lang w:val="en-US"/>
        </w:rPr>
        <w:t>)</w:t>
      </w:r>
      <w:r>
        <w:rPr>
          <w:lang w:val="en-US"/>
        </w:rPr>
        <w:t xml:space="preserve">. 73.88. </w:t>
      </w:r>
      <w:hyperlink r:id="rId45" w:history="1">
        <w:r w:rsidRPr="008D32F8">
          <w:rPr>
            <w:rStyle w:val="Hyperlink"/>
            <w:lang w:val="en-US"/>
          </w:rPr>
          <w:t>https://doi/10.1108/JEFAS-07-2018-0066</w:t>
        </w:r>
      </w:hyperlink>
      <w:r>
        <w:rPr>
          <w:lang w:val="en-US"/>
        </w:rPr>
        <w:t xml:space="preserve">. </w:t>
      </w:r>
    </w:p>
    <w:p w14:paraId="16A4CF30" w14:textId="2C5ACDE5" w:rsidR="009C405F" w:rsidRDefault="009C405F" w:rsidP="00DC5ADC">
      <w:pPr>
        <w:ind w:left="284" w:hanging="284"/>
        <w:rPr>
          <w:lang w:val="en-US"/>
        </w:rPr>
      </w:pPr>
      <w:r w:rsidRPr="009C405F">
        <w:rPr>
          <w:lang w:val="en-US"/>
        </w:rPr>
        <w:t xml:space="preserve">Oh, W., &amp; Lucas Jr, H. C. (2006). Information technology and pricing decisions: Price adjustments in online computer markets. MIS quarterly, </w:t>
      </w:r>
      <w:r>
        <w:rPr>
          <w:lang w:val="en-US"/>
        </w:rPr>
        <w:t xml:space="preserve">30 (3). </w:t>
      </w:r>
      <w:r w:rsidRPr="009C405F">
        <w:rPr>
          <w:lang w:val="en-US"/>
        </w:rPr>
        <w:t>755-775</w:t>
      </w:r>
      <w:r>
        <w:rPr>
          <w:lang w:val="en-US"/>
        </w:rPr>
        <w:t xml:space="preserve">. </w:t>
      </w:r>
      <w:hyperlink r:id="rId46" w:history="1">
        <w:r w:rsidRPr="00C15D41">
          <w:rPr>
            <w:rStyle w:val="Hyperlink"/>
            <w:lang w:val="en-US"/>
          </w:rPr>
          <w:t>https://doi.org/10.2307/25148748</w:t>
        </w:r>
      </w:hyperlink>
      <w:r>
        <w:rPr>
          <w:lang w:val="en-US"/>
        </w:rPr>
        <w:t xml:space="preserve">.  </w:t>
      </w:r>
    </w:p>
    <w:p w14:paraId="32998742" w14:textId="69C46FA2" w:rsidR="00C21ACA" w:rsidRPr="005718B9" w:rsidRDefault="00C21ACA" w:rsidP="00DC5ADC">
      <w:pPr>
        <w:ind w:left="284" w:hanging="284"/>
        <w:rPr>
          <w:lang w:val="en-US"/>
        </w:rPr>
      </w:pPr>
      <w:r w:rsidRPr="00C21ACA">
        <w:rPr>
          <w:lang w:val="en-US"/>
        </w:rPr>
        <w:t>Padmavathy, C., Swapana, M., &amp; Paul, J. (2019). Online second-hand shopping motivation–Conceptualization, scale development, and validation. Journal of Retailing and Consumer Services, 51, 19-32.</w:t>
      </w:r>
    </w:p>
    <w:p w14:paraId="7ECB92FA" w14:textId="77777777" w:rsidR="00DC5ADC" w:rsidRDefault="00DC5ADC" w:rsidP="00DC5ADC">
      <w:pPr>
        <w:ind w:left="284" w:hanging="284"/>
        <w:rPr>
          <w:lang w:val="en-US"/>
        </w:rPr>
      </w:pPr>
      <w:r w:rsidRPr="00075879">
        <w:t xml:space="preserve">Pan, X., Ratchford, B. T., &amp; Shankar, V. (2004). Price dispersion on the internet: A review and directions for future research. Journal of Interactive Marketing, 18(4), 116–135. </w:t>
      </w:r>
      <w:hyperlink r:id="rId47" w:history="1">
        <w:r w:rsidRPr="008D32F8">
          <w:rPr>
            <w:rStyle w:val="Hyperlink"/>
          </w:rPr>
          <w:t>https://doi:10.1002/dir.20019</w:t>
        </w:r>
      </w:hyperlink>
      <w:r>
        <w:rPr>
          <w:lang w:val="en-US"/>
        </w:rPr>
        <w:t xml:space="preserve">.  </w:t>
      </w:r>
    </w:p>
    <w:p w14:paraId="62D26DC4" w14:textId="77777777" w:rsidR="00DC5ADC" w:rsidRDefault="00DC5ADC" w:rsidP="00DC5ADC">
      <w:pPr>
        <w:ind w:left="284" w:hanging="284"/>
        <w:rPr>
          <w:lang w:val="en-US"/>
        </w:rPr>
      </w:pPr>
      <w:r w:rsidRPr="00E87E4A">
        <w:rPr>
          <w:lang w:val="en-US"/>
        </w:rPr>
        <w:t xml:space="preserve">Pandey, S., &amp; Chawla, D. (2014). E-lifestyles of Indian online shoppers: A scale validation. Journal of Retailing and Consumer Services, 21(6), 1068–1074. </w:t>
      </w:r>
      <w:hyperlink r:id="rId48" w:history="1">
        <w:r w:rsidRPr="00B013F3">
          <w:rPr>
            <w:rStyle w:val="Hyperlink"/>
            <w:lang w:val="en-US"/>
          </w:rPr>
          <w:t>https://doi/10.1016/j.jretconser.2014.06</w:t>
        </w:r>
      </w:hyperlink>
      <w:r>
        <w:rPr>
          <w:lang w:val="en-US"/>
        </w:rPr>
        <w:t xml:space="preserve">. </w:t>
      </w:r>
    </w:p>
    <w:p w14:paraId="3DC9D63D" w14:textId="77777777" w:rsidR="00DC5ADC" w:rsidRDefault="00DC5ADC" w:rsidP="00DC5ADC">
      <w:pPr>
        <w:ind w:left="284" w:hanging="284"/>
        <w:rPr>
          <w:lang w:val="en-US"/>
        </w:rPr>
      </w:pPr>
      <w:r w:rsidRPr="00001FBE">
        <w:rPr>
          <w:lang w:val="en-US"/>
        </w:rPr>
        <w:lastRenderedPageBreak/>
        <w:t>Polezharova, L. V., &amp; Krasnobaeva, A. M. (2020). E-Commerce Taxation in Russia: Problems and Approaches. Journal of Tax Reform, 6(2), 104-123.</w:t>
      </w:r>
      <w:r>
        <w:rPr>
          <w:lang w:val="en-US"/>
        </w:rPr>
        <w:t xml:space="preserve"> </w:t>
      </w:r>
      <w:hyperlink r:id="rId49" w:history="1">
        <w:r w:rsidRPr="00AC3C78">
          <w:rPr>
            <w:rStyle w:val="Hyperlink"/>
            <w:lang w:val="en-US"/>
          </w:rPr>
          <w:t>https://doi/10.15826/jtr.2020.6.2.077</w:t>
        </w:r>
      </w:hyperlink>
      <w:r>
        <w:rPr>
          <w:lang w:val="en-US"/>
        </w:rPr>
        <w:t xml:space="preserve">. </w:t>
      </w:r>
    </w:p>
    <w:p w14:paraId="032CBA6E" w14:textId="77777777" w:rsidR="00DC5ADC" w:rsidRDefault="00DC5ADC" w:rsidP="00DC5ADC">
      <w:pPr>
        <w:ind w:left="284" w:hanging="284"/>
        <w:rPr>
          <w:lang w:val="en-US"/>
        </w:rPr>
      </w:pPr>
      <w:r w:rsidRPr="002B3229">
        <w:rPr>
          <w:lang w:val="en-US"/>
        </w:rPr>
        <w:t>Scarcella, L. (2020). E-commerce and effective VAT/GST enforcement: Can online platforms play a valuable role?. Computer law &amp; security review, 36, 105371.</w:t>
      </w:r>
      <w:r>
        <w:rPr>
          <w:lang w:val="en-US"/>
        </w:rPr>
        <w:t xml:space="preserve"> </w:t>
      </w:r>
      <w:hyperlink r:id="rId50" w:history="1">
        <w:r w:rsidRPr="00AC3C78">
          <w:rPr>
            <w:rStyle w:val="Hyperlink"/>
            <w:lang w:val="en-US"/>
          </w:rPr>
          <w:t>https://doi.org/10.1016/j.clsr.2019.105371</w:t>
        </w:r>
      </w:hyperlink>
      <w:r>
        <w:rPr>
          <w:lang w:val="en-US"/>
        </w:rPr>
        <w:t xml:space="preserve">. </w:t>
      </w:r>
    </w:p>
    <w:p w14:paraId="65F8C063" w14:textId="77777777" w:rsidR="00DC5ADC" w:rsidRDefault="00DC5ADC" w:rsidP="00DC5ADC">
      <w:pPr>
        <w:ind w:left="284" w:hanging="284"/>
        <w:rPr>
          <w:lang w:val="en-US"/>
        </w:rPr>
      </w:pPr>
      <w:r w:rsidRPr="00053DD8">
        <w:rPr>
          <w:lang w:val="en-US"/>
        </w:rPr>
        <w:t xml:space="preserve">Shen, L., He, Y., Li, Lh. et al. Impacts of online shopping convenience and physical retail proximity on housing prices in Shenzhen, 2016–2018. J Hous and the Built Environ 35, 1157–1176 (2020). </w:t>
      </w:r>
      <w:hyperlink r:id="rId51" w:history="1">
        <w:r w:rsidRPr="00B013F3">
          <w:rPr>
            <w:rStyle w:val="Hyperlink"/>
            <w:lang w:val="en-US"/>
          </w:rPr>
          <w:t>https://doi.org/10.1007/s10901-020-09732-w</w:t>
        </w:r>
      </w:hyperlink>
      <w:r>
        <w:rPr>
          <w:lang w:val="en-US"/>
        </w:rPr>
        <w:t xml:space="preserve">. </w:t>
      </w:r>
    </w:p>
    <w:p w14:paraId="12F9792D" w14:textId="77777777" w:rsidR="00DC5ADC" w:rsidRDefault="00DC5ADC" w:rsidP="00DC5ADC">
      <w:pPr>
        <w:ind w:left="284" w:hanging="284"/>
        <w:rPr>
          <w:lang w:val="en-US"/>
        </w:rPr>
      </w:pPr>
      <w:r w:rsidRPr="00A53A84">
        <w:rPr>
          <w:lang w:val="en-US"/>
        </w:rPr>
        <w:t>Simon, S. J. (2004). Critical success factors for electronic services: Challenges for developing countries. Journal of Global Information Technology Management, 7(2), 31-53.</w:t>
      </w:r>
      <w:r>
        <w:rPr>
          <w:lang w:val="en-US"/>
        </w:rPr>
        <w:t xml:space="preserve"> </w:t>
      </w:r>
      <w:hyperlink r:id="rId52" w:history="1">
        <w:r w:rsidRPr="00B013F3">
          <w:rPr>
            <w:rStyle w:val="Hyperlink"/>
            <w:lang w:val="en-US"/>
          </w:rPr>
          <w:t>https://doi.org/10.1080/1097198X.2004.10856371</w:t>
        </w:r>
      </w:hyperlink>
      <w:r>
        <w:rPr>
          <w:lang w:val="en-US"/>
        </w:rPr>
        <w:t xml:space="preserve">. </w:t>
      </w:r>
    </w:p>
    <w:p w14:paraId="07AA6A59" w14:textId="2BB6839A" w:rsidR="00DC5ADC" w:rsidRDefault="00DC5ADC" w:rsidP="00DC5ADC">
      <w:pPr>
        <w:ind w:left="284" w:hanging="284"/>
        <w:rPr>
          <w:lang w:val="en-US"/>
        </w:rPr>
      </w:pPr>
      <w:r w:rsidRPr="00BD0F89">
        <w:rPr>
          <w:lang w:val="en-US"/>
        </w:rPr>
        <w:t>Song, P., Wang, Q., Liu, H., &amp; Li, Q. (2020). The value of buy‐online‐and‐pickup‐in‐store in omni‐channel: evidence from customer usage data. Production and Operations Management, 29(4), 995-1010.</w:t>
      </w:r>
      <w:r>
        <w:rPr>
          <w:lang w:val="en-US"/>
        </w:rPr>
        <w:t xml:space="preserve"> </w:t>
      </w:r>
      <w:hyperlink r:id="rId53" w:history="1">
        <w:r w:rsidRPr="00B013F3">
          <w:rPr>
            <w:rStyle w:val="Hyperlink"/>
            <w:lang w:val="en-US"/>
          </w:rPr>
          <w:t>https://doi.org/10.1111/poms.13146</w:t>
        </w:r>
      </w:hyperlink>
      <w:r>
        <w:rPr>
          <w:lang w:val="en-US"/>
        </w:rPr>
        <w:t xml:space="preserve">. </w:t>
      </w:r>
    </w:p>
    <w:p w14:paraId="13E36937" w14:textId="6DA0D657" w:rsidR="00DA27EE" w:rsidRDefault="00DA27EE" w:rsidP="00DC5ADC">
      <w:pPr>
        <w:ind w:left="284" w:hanging="284"/>
        <w:rPr>
          <w:lang w:val="en-US"/>
        </w:rPr>
      </w:pPr>
      <w:r w:rsidRPr="00DA27EE">
        <w:rPr>
          <w:lang w:val="en-US"/>
        </w:rPr>
        <w:t>Sumarliah, E., Usmanova, K., Mousa, K., &amp; Indriya, I. (2021). E-commerce in the fashion business: the roles of the COVID-19 situational factors, hedonic and utilitarian motives on consumers’ intention to purchase online. International Journal of Fashion Design, Technology and Education, 1-11.</w:t>
      </w:r>
      <w:r>
        <w:rPr>
          <w:lang w:val="en-US"/>
        </w:rPr>
        <w:t xml:space="preserve"> </w:t>
      </w:r>
      <w:hyperlink r:id="rId54" w:history="1">
        <w:r w:rsidRPr="00C15D41">
          <w:rPr>
            <w:rStyle w:val="Hyperlink"/>
            <w:lang w:val="en-US"/>
          </w:rPr>
          <w:t>https://doi.org/10.1080/17543266.2021.1958926</w:t>
        </w:r>
      </w:hyperlink>
      <w:r>
        <w:rPr>
          <w:lang w:val="en-US"/>
        </w:rPr>
        <w:t xml:space="preserve">. </w:t>
      </w:r>
    </w:p>
    <w:p w14:paraId="2FBE983F" w14:textId="77777777" w:rsidR="00DC5ADC" w:rsidRDefault="00DC5ADC" w:rsidP="00DC5ADC">
      <w:pPr>
        <w:ind w:left="284" w:hanging="284"/>
        <w:rPr>
          <w:lang w:val="en-US"/>
        </w:rPr>
      </w:pPr>
      <w:r w:rsidRPr="003B37E7">
        <w:rPr>
          <w:lang w:val="en-US"/>
        </w:rPr>
        <w:t>Sundbo, J. (1998). The theory of innovation: enterpreneurs, technology and strategy. Edward Elgar Publishing.</w:t>
      </w:r>
    </w:p>
    <w:p w14:paraId="3DE38067" w14:textId="4B62A430" w:rsidR="00DC5ADC" w:rsidRDefault="00DC5ADC" w:rsidP="00DC5ADC">
      <w:pPr>
        <w:ind w:left="284" w:hanging="284"/>
        <w:rPr>
          <w:lang w:val="en-US"/>
        </w:rPr>
      </w:pPr>
      <w:r w:rsidRPr="002A5F53">
        <w:rPr>
          <w:lang w:val="en-US"/>
        </w:rPr>
        <w:t>Swinyard, W. R., &amp; Smith, S. M. (2003). Why people (don't) shop online: A lifestyle study of the internet consumer. Psychology &amp; marketing, 20(7), 567-597.</w:t>
      </w:r>
      <w:r>
        <w:rPr>
          <w:lang w:val="en-US"/>
        </w:rPr>
        <w:t xml:space="preserve"> </w:t>
      </w:r>
      <w:hyperlink r:id="rId55" w:history="1">
        <w:r w:rsidRPr="00331E8E">
          <w:rPr>
            <w:rStyle w:val="Hyperlink"/>
            <w:lang w:val="en-US"/>
          </w:rPr>
          <w:t>https://doi.org/10.1002/mar.10087</w:t>
        </w:r>
      </w:hyperlink>
      <w:r>
        <w:rPr>
          <w:lang w:val="en-US"/>
        </w:rPr>
        <w:t xml:space="preserve">. </w:t>
      </w:r>
    </w:p>
    <w:p w14:paraId="224198C3" w14:textId="6F267C9B" w:rsidR="00222FDE" w:rsidRDefault="00222FDE" w:rsidP="00DC5ADC">
      <w:pPr>
        <w:ind w:left="284" w:hanging="284"/>
        <w:rPr>
          <w:lang w:val="en-US"/>
        </w:rPr>
      </w:pPr>
      <w:r w:rsidRPr="00222FDE">
        <w:rPr>
          <w:lang w:val="en-US"/>
        </w:rPr>
        <w:t>Tan, G. W. H., &amp; Ooi, K. B. (2018). Gender and age: Do they really moderate mobile tourism shopping behavior?. Telematics and Informatics, 35(6), 1617-1642.</w:t>
      </w:r>
      <w:r>
        <w:rPr>
          <w:lang w:val="en-US"/>
        </w:rPr>
        <w:t xml:space="preserve"> </w:t>
      </w:r>
      <w:hyperlink r:id="rId56" w:history="1">
        <w:r w:rsidRPr="00C15D41">
          <w:rPr>
            <w:rStyle w:val="Hyperlink"/>
            <w:lang w:val="en-US"/>
          </w:rPr>
          <w:t>https://doi.org/10.1016/j.tele.2018.04.009</w:t>
        </w:r>
      </w:hyperlink>
      <w:r>
        <w:rPr>
          <w:lang w:val="en-US"/>
        </w:rPr>
        <w:t xml:space="preserve">. </w:t>
      </w:r>
    </w:p>
    <w:p w14:paraId="5BC1CF40" w14:textId="3226F39F" w:rsidR="00DC5ADC" w:rsidRDefault="00DC5ADC" w:rsidP="00DC5ADC">
      <w:pPr>
        <w:ind w:left="284" w:hanging="284"/>
        <w:rPr>
          <w:lang w:val="en-US"/>
        </w:rPr>
      </w:pPr>
      <w:r w:rsidRPr="00BF45F6">
        <w:rPr>
          <w:lang w:val="en-US"/>
        </w:rPr>
        <w:t>Teo, T. S., Wang, P., &amp; Leong, C. H. (2004). Understanding online shopping behaviour using a transaction cost economics approach. International Journal of Internet Marketing and Advertising, 1(1), 62-84.</w:t>
      </w:r>
      <w:r>
        <w:rPr>
          <w:lang w:val="en-US"/>
        </w:rPr>
        <w:t xml:space="preserve"> </w:t>
      </w:r>
    </w:p>
    <w:p w14:paraId="1B5CDF06" w14:textId="590722D8" w:rsidR="00446E67" w:rsidRDefault="00446E67" w:rsidP="00DC5ADC">
      <w:pPr>
        <w:ind w:left="284" w:hanging="284"/>
        <w:rPr>
          <w:lang w:val="en-US"/>
        </w:rPr>
      </w:pPr>
      <w:r w:rsidRPr="00446E67">
        <w:rPr>
          <w:lang w:val="en-US"/>
        </w:rPr>
        <w:t>Teo, T. S., &amp; Liu, J. (2007). Consumer trust in e-commerce in the United States, Singapore and China. Omega, 35(1), 22-38.</w:t>
      </w:r>
    </w:p>
    <w:p w14:paraId="3538B04E" w14:textId="39175AC1" w:rsidR="00DC5ADC" w:rsidRDefault="00DC5ADC" w:rsidP="00DC5ADC">
      <w:pPr>
        <w:ind w:left="284" w:hanging="284"/>
        <w:rPr>
          <w:lang w:val="en-US"/>
        </w:rPr>
      </w:pPr>
      <w:r w:rsidRPr="00DE1AC2">
        <w:rPr>
          <w:lang w:val="en-US"/>
        </w:rPr>
        <w:lastRenderedPageBreak/>
        <w:t>Tosun, M. S., &amp; Skidmore, M. L. (2007). Cross-border shopping and the sales tax: An examination of food</w:t>
      </w:r>
      <w:r>
        <w:rPr>
          <w:lang w:val="en-US"/>
        </w:rPr>
        <w:t xml:space="preserve"> </w:t>
      </w:r>
      <w:r w:rsidRPr="00DE1AC2">
        <w:rPr>
          <w:lang w:val="en-US"/>
        </w:rPr>
        <w:t>purchases in West Virginia. The B.E. Journal of Economic Analysis &amp; Policy, 7(1), 1–18.</w:t>
      </w:r>
    </w:p>
    <w:p w14:paraId="50016F09" w14:textId="1B80FEBE" w:rsidR="00E94638" w:rsidRDefault="00E94638" w:rsidP="00DC5ADC">
      <w:pPr>
        <w:ind w:left="284" w:hanging="284"/>
        <w:rPr>
          <w:lang w:val="en-US"/>
        </w:rPr>
      </w:pPr>
      <w:r w:rsidRPr="00E94638">
        <w:rPr>
          <w:lang w:val="en-US"/>
        </w:rPr>
        <w:t>Verma, P., &amp; Jain, S. (2015). Skills augmenting online shopping behavior: A study of need for cognition positive segment. Business Perspectives and Research, 3(2), 126-145.</w:t>
      </w:r>
      <w:r w:rsidR="002A68EE">
        <w:rPr>
          <w:lang w:val="en-US"/>
        </w:rPr>
        <w:t xml:space="preserve"> </w:t>
      </w:r>
      <w:hyperlink r:id="rId57" w:history="1">
        <w:r w:rsidR="002A68EE" w:rsidRPr="00C15D41">
          <w:rPr>
            <w:rStyle w:val="Hyperlink"/>
            <w:lang w:val="en-US"/>
          </w:rPr>
          <w:t>https://doi.org/10.1177/2278533715578556</w:t>
        </w:r>
      </w:hyperlink>
      <w:r w:rsidR="002A68EE">
        <w:rPr>
          <w:lang w:val="en-US"/>
        </w:rPr>
        <w:t xml:space="preserve">. </w:t>
      </w:r>
    </w:p>
    <w:p w14:paraId="4DFBAD73" w14:textId="1CC1296E" w:rsidR="0037631C" w:rsidRDefault="0037631C" w:rsidP="00DC5ADC">
      <w:pPr>
        <w:ind w:left="284" w:hanging="284"/>
        <w:rPr>
          <w:lang w:val="en-US"/>
        </w:rPr>
      </w:pPr>
      <w:r w:rsidRPr="0037631C">
        <w:rPr>
          <w:lang w:val="en-US"/>
        </w:rPr>
        <w:t>Wang, L. C., &amp; Fodness, D. (2010). Can avatars enhance consumer trust and emotion in online retail sales?. International Journal of Electronic Marketing and Retailing, 3(4), 341-362.</w:t>
      </w:r>
      <w:r>
        <w:rPr>
          <w:lang w:val="en-US"/>
        </w:rPr>
        <w:t xml:space="preserve"> </w:t>
      </w:r>
    </w:p>
    <w:p w14:paraId="330B5C0C" w14:textId="38F5D2B1" w:rsidR="00DC5ADC" w:rsidRDefault="00DC5ADC" w:rsidP="00DC5ADC">
      <w:pPr>
        <w:ind w:left="284" w:hanging="284"/>
        <w:rPr>
          <w:lang w:val="en-US"/>
        </w:rPr>
      </w:pPr>
      <w:r w:rsidRPr="00DC5ADC">
        <w:rPr>
          <w:lang w:val="en-US"/>
        </w:rPr>
        <w:t>Wang, W., &amp; Li, F. (2020). What determines online transaction price dispersion? Evidence from the largest online platform in China. Electronic Commerce Research and Applications, 42, 100968.</w:t>
      </w:r>
      <w:r>
        <w:rPr>
          <w:lang w:val="en-US"/>
        </w:rPr>
        <w:t xml:space="preserve"> </w:t>
      </w:r>
      <w:hyperlink r:id="rId58" w:history="1">
        <w:r w:rsidRPr="00C15D41">
          <w:rPr>
            <w:rStyle w:val="Hyperlink"/>
            <w:lang w:val="en-US"/>
          </w:rPr>
          <w:t>https://doi.org/10.1016/j.elerap.2020.100968</w:t>
        </w:r>
      </w:hyperlink>
      <w:r>
        <w:rPr>
          <w:lang w:val="en-US"/>
        </w:rPr>
        <w:t xml:space="preserve">. </w:t>
      </w:r>
    </w:p>
    <w:p w14:paraId="49A0B514" w14:textId="1E84584B" w:rsidR="00641BD0" w:rsidRDefault="00641BD0" w:rsidP="00DC5ADC">
      <w:pPr>
        <w:ind w:left="284" w:hanging="284"/>
        <w:rPr>
          <w:lang w:val="en-US"/>
        </w:rPr>
      </w:pPr>
      <w:r w:rsidRPr="00641BD0">
        <w:rPr>
          <w:lang w:val="en-US"/>
        </w:rPr>
        <w:t>Ward, B. T., &amp; Sipior, J. C. (2004). To tax or not to tax e-commerce: A United States perspective. Journal of Electronic Commerce Research, 5(3), 172-180.</w:t>
      </w:r>
      <w:r>
        <w:rPr>
          <w:lang w:val="en-US"/>
        </w:rPr>
        <w:t xml:space="preserve"> </w:t>
      </w:r>
    </w:p>
    <w:p w14:paraId="5AD062F2" w14:textId="77777777" w:rsidR="00DC5ADC" w:rsidRDefault="00DC5ADC" w:rsidP="00DC5ADC">
      <w:pPr>
        <w:ind w:left="284" w:hanging="284"/>
        <w:rPr>
          <w:lang w:val="en-US"/>
        </w:rPr>
      </w:pPr>
      <w:r w:rsidRPr="00AE3B92">
        <w:rPr>
          <w:lang w:val="en-US"/>
        </w:rPr>
        <w:t>Yang, M., Mamun, A. A., Mohiuddin, M., Nawi, N. C., &amp; Zainol, N. R. (2021). Cashless transactions: A study on intention and adoption of e-wallets. Sustainability, 13(2), 831.</w:t>
      </w:r>
      <w:r>
        <w:rPr>
          <w:lang w:val="en-US"/>
        </w:rPr>
        <w:t xml:space="preserve"> </w:t>
      </w:r>
      <w:hyperlink r:id="rId59" w:history="1">
        <w:r w:rsidRPr="00B013F3">
          <w:rPr>
            <w:rStyle w:val="Hyperlink"/>
            <w:lang w:val="en-US"/>
          </w:rPr>
          <w:t>https://doi.org/10.3390/su13020831</w:t>
        </w:r>
      </w:hyperlink>
      <w:r>
        <w:rPr>
          <w:lang w:val="en-US"/>
        </w:rPr>
        <w:t xml:space="preserve">. </w:t>
      </w:r>
    </w:p>
    <w:p w14:paraId="7A43C239" w14:textId="74A409F3" w:rsidR="0052209E" w:rsidRDefault="00DC5ADC" w:rsidP="0052209E">
      <w:pPr>
        <w:ind w:left="284" w:hanging="284"/>
        <w:rPr>
          <w:lang w:val="en-US"/>
        </w:rPr>
      </w:pPr>
      <w:r w:rsidRPr="00ED6A66">
        <w:rPr>
          <w:lang w:val="en-US"/>
        </w:rPr>
        <w:t>Zhang, T., &amp; Choi, T. M. (2021). Optimal consumer sales tax policies for online‐offline retail operations with consumer returns. Naval Research Logistics (NRL), 68(6), 701-720.</w:t>
      </w:r>
      <w:r>
        <w:rPr>
          <w:lang w:val="en-US"/>
        </w:rPr>
        <w:t xml:space="preserve"> </w:t>
      </w:r>
      <w:hyperlink r:id="rId60" w:history="1">
        <w:r w:rsidRPr="00B013F3">
          <w:rPr>
            <w:rStyle w:val="Hyperlink"/>
            <w:lang w:val="en-US"/>
          </w:rPr>
          <w:t>https://doi.org/10.1002/nav.21935</w:t>
        </w:r>
      </w:hyperlink>
      <w:r>
        <w:rPr>
          <w:lang w:val="en-US"/>
        </w:rPr>
        <w:t xml:space="preserve">. </w:t>
      </w:r>
    </w:p>
    <w:p w14:paraId="541E9A33" w14:textId="494830E2" w:rsidR="00BA6C4C" w:rsidRDefault="00BA6C4C" w:rsidP="0052209E">
      <w:pPr>
        <w:ind w:left="284" w:hanging="284"/>
        <w:rPr>
          <w:lang w:val="en-US"/>
        </w:rPr>
      </w:pPr>
      <w:r w:rsidRPr="00BA6C4C">
        <w:rPr>
          <w:lang w:val="en-US"/>
        </w:rPr>
        <w:t>Zhang, X., Prybutok, V. R., &amp; Strutton, D. (2007). Modeling influences on impulse purchasing behaviors during online marketing transactions. Journal of Marketing Theory and Practice, 15(1), 79-89.</w:t>
      </w:r>
      <w:r>
        <w:rPr>
          <w:lang w:val="en-US"/>
        </w:rPr>
        <w:t xml:space="preserve"> </w:t>
      </w:r>
      <w:hyperlink r:id="rId61" w:history="1">
        <w:r w:rsidRPr="00C15D41">
          <w:rPr>
            <w:rStyle w:val="Hyperlink"/>
            <w:lang w:val="en-US"/>
          </w:rPr>
          <w:t>https://doi.org/10.2753/MTP1069-6679150106</w:t>
        </w:r>
      </w:hyperlink>
      <w:r>
        <w:rPr>
          <w:lang w:val="en-US"/>
        </w:rPr>
        <w:t xml:space="preserve">. </w:t>
      </w:r>
    </w:p>
    <w:p w14:paraId="4E475950" w14:textId="1E94B75B" w:rsidR="00471AF3" w:rsidRDefault="00471AF3" w:rsidP="0052209E">
      <w:pPr>
        <w:ind w:left="284" w:hanging="284"/>
        <w:rPr>
          <w:lang w:val="en-US"/>
        </w:rPr>
      </w:pPr>
      <w:r w:rsidRPr="00471AF3">
        <w:rPr>
          <w:lang w:val="en-US"/>
        </w:rPr>
        <w:t>Zeng, Y., Guo, X., &amp; Huang, H. (2012). E-commerce tax collection and administration in China. In 2012 International Conference on Information Management, Innovation Management and Industrial Engineering</w:t>
      </w:r>
      <w:r w:rsidR="00CF6602">
        <w:rPr>
          <w:lang w:val="en-US"/>
        </w:rPr>
        <w:t xml:space="preserve">. </w:t>
      </w:r>
      <w:r w:rsidRPr="00471AF3">
        <w:rPr>
          <w:lang w:val="en-US"/>
        </w:rPr>
        <w:t xml:space="preserve">Vol. 3, pp. 424-427). </w:t>
      </w:r>
      <w:hyperlink r:id="rId62" w:history="1">
        <w:r w:rsidR="00CF6602" w:rsidRPr="00C15D41">
          <w:rPr>
            <w:rStyle w:val="Hyperlink"/>
            <w:lang w:val="en-US"/>
          </w:rPr>
          <w:t>https://doi.org/10.1109/ICIII.2012.6340008</w:t>
        </w:r>
      </w:hyperlink>
      <w:r w:rsidR="00CF6602">
        <w:rPr>
          <w:lang w:val="en-US"/>
        </w:rPr>
        <w:t xml:space="preserve">. </w:t>
      </w:r>
    </w:p>
    <w:p w14:paraId="1730ED8C" w14:textId="77777777" w:rsidR="0052209E" w:rsidRDefault="00DC5ADC" w:rsidP="0052209E">
      <w:pPr>
        <w:ind w:left="284" w:hanging="284"/>
        <w:rPr>
          <w:rStyle w:val="Hyperlink"/>
          <w:color w:val="auto"/>
          <w:u w:val="none"/>
          <w:lang w:val="en-US"/>
        </w:rPr>
      </w:pPr>
      <w:r w:rsidRPr="005F1B14">
        <w:rPr>
          <w:lang w:val="en-US"/>
        </w:rPr>
        <w:t>Zhou, L., Wang, W., Xu, J. D., Liu, T., &amp; Gu, J. (2018). Perceived information transparency in B2C e-commerce: An empirical investigation. Information &amp; Management, 55(7), 912-927.</w:t>
      </w:r>
      <w:r>
        <w:rPr>
          <w:lang w:val="en-US"/>
        </w:rPr>
        <w:t xml:space="preserve"> </w:t>
      </w:r>
      <w:hyperlink r:id="rId63" w:history="1">
        <w:r w:rsidRPr="00B013F3">
          <w:rPr>
            <w:rStyle w:val="Hyperlink"/>
            <w:lang w:val="en-US"/>
          </w:rPr>
          <w:t>https://doi.org/10.1016/j.im.2018.04.005</w:t>
        </w:r>
      </w:hyperlink>
      <w:r w:rsidR="002E4CE7">
        <w:rPr>
          <w:rStyle w:val="Hyperlink"/>
          <w:lang w:val="en-US"/>
        </w:rPr>
        <w:t>.</w:t>
      </w:r>
    </w:p>
    <w:p w14:paraId="334546AD" w14:textId="2A8D3F6C" w:rsidR="002E4CE7" w:rsidRPr="00E51B96" w:rsidRDefault="0052209E" w:rsidP="0052209E">
      <w:pPr>
        <w:ind w:left="284" w:hanging="284"/>
        <w:rPr>
          <w:lang w:val="en-US"/>
        </w:rPr>
      </w:pPr>
      <w:r w:rsidRPr="0052209E">
        <w:t>Zhuang, H., Leszczyc, P. T. P., &amp; Lin, Y. (2018). Why is price dispersion higher online than offline? The impact of retailer type and shopping risk on price dispersion. Journal of Retailing, 94(2), 136-153.</w:t>
      </w:r>
      <w:r w:rsidR="00E51B96">
        <w:rPr>
          <w:lang w:val="en-US"/>
        </w:rPr>
        <w:t xml:space="preserve"> </w:t>
      </w:r>
      <w:hyperlink r:id="rId64" w:history="1">
        <w:r w:rsidR="00E51B96" w:rsidRPr="00C15D41">
          <w:rPr>
            <w:rStyle w:val="Hyperlink"/>
            <w:lang w:val="en-US"/>
          </w:rPr>
          <w:t>https://doi.org/10.1016/j.jretai.2018.01.003</w:t>
        </w:r>
      </w:hyperlink>
      <w:r w:rsidR="00E51B96">
        <w:rPr>
          <w:lang w:val="en-US"/>
        </w:rPr>
        <w:t xml:space="preserve">. </w:t>
      </w:r>
    </w:p>
    <w:sectPr w:rsidR="002E4CE7" w:rsidRPr="00E51B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A575" w14:textId="77777777" w:rsidR="00C56404" w:rsidRDefault="00C56404" w:rsidP="000C68E8">
      <w:pPr>
        <w:spacing w:line="240" w:lineRule="auto"/>
      </w:pPr>
      <w:r>
        <w:separator/>
      </w:r>
    </w:p>
  </w:endnote>
  <w:endnote w:type="continuationSeparator" w:id="0">
    <w:p w14:paraId="03488BF8" w14:textId="77777777" w:rsidR="00C56404" w:rsidRDefault="00C56404" w:rsidP="000C68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77430" w14:textId="77777777" w:rsidR="00C56404" w:rsidRDefault="00C56404" w:rsidP="000C68E8">
      <w:pPr>
        <w:spacing w:line="240" w:lineRule="auto"/>
      </w:pPr>
      <w:r>
        <w:separator/>
      </w:r>
    </w:p>
  </w:footnote>
  <w:footnote w:type="continuationSeparator" w:id="0">
    <w:p w14:paraId="148423F1" w14:textId="77777777" w:rsidR="00C56404" w:rsidRDefault="00C56404" w:rsidP="000C68E8">
      <w:pPr>
        <w:spacing w:line="240" w:lineRule="auto"/>
      </w:pPr>
      <w:r>
        <w:continuationSeparator/>
      </w:r>
    </w:p>
  </w:footnote>
  <w:footnote w:id="1">
    <w:p w14:paraId="4AA3269A" w14:textId="77777777" w:rsidR="005D1495" w:rsidRPr="00783FC1" w:rsidRDefault="005D1495" w:rsidP="005D1495">
      <w:pPr>
        <w:pStyle w:val="FootnoteText"/>
        <w:rPr>
          <w:lang w:val="en-US"/>
        </w:rPr>
      </w:pPr>
      <w:r>
        <w:rPr>
          <w:rStyle w:val="FootnoteReference"/>
        </w:rPr>
        <w:footnoteRef/>
      </w:r>
      <w:r>
        <w:t xml:space="preserve"> </w:t>
      </w:r>
      <w:r>
        <w:rPr>
          <w:lang w:val="en-US"/>
        </w:rPr>
        <w:t xml:space="preserve"> </w:t>
      </w:r>
      <w:r w:rsidRPr="00071C37">
        <w:rPr>
          <w:lang w:val="en-US"/>
        </w:rPr>
        <w:t>Andrea Andrenelli, Javier López González (2019) Electronic transmissions and international trade - shedding new light on the moratorium debate: OECD Trade Policy Paper No 233, OECD Publishing, Paris. Retrieved from http://dx.doi. org/10.1787/57b50a4b-en</w:t>
      </w:r>
      <w:r>
        <w:rPr>
          <w:lang w:val="en-US"/>
        </w:rPr>
        <w:t xml:space="preserve"> </w:t>
      </w:r>
    </w:p>
  </w:footnote>
  <w:footnote w:id="2">
    <w:p w14:paraId="700CB856" w14:textId="77777777" w:rsidR="005D1495" w:rsidRPr="00071C37" w:rsidRDefault="005D1495" w:rsidP="005D1495">
      <w:pPr>
        <w:pStyle w:val="FootnoteText"/>
        <w:rPr>
          <w:lang w:val="en-US"/>
        </w:rPr>
      </w:pPr>
      <w:r>
        <w:rPr>
          <w:rStyle w:val="FootnoteReference"/>
        </w:rPr>
        <w:footnoteRef/>
      </w:r>
      <w:r>
        <w:t xml:space="preserve"> </w:t>
      </w:r>
      <w:r>
        <w:rPr>
          <w:lang w:val="en-US"/>
        </w:rPr>
        <w:t xml:space="preserve">Rebecca, A. G. 2021. </w:t>
      </w:r>
      <w:r w:rsidRPr="00BB5598">
        <w:rPr>
          <w:lang w:val="en-US"/>
        </w:rPr>
        <w:t>Policy Brief | Digital Taxation in Indonesia</w:t>
      </w:r>
      <w:r>
        <w:rPr>
          <w:lang w:val="en-US"/>
        </w:rPr>
        <w:t xml:space="preserve">. </w:t>
      </w:r>
      <w:r w:rsidRPr="000C68E8">
        <w:rPr>
          <w:lang w:val="en-US"/>
        </w:rPr>
        <w:t>available at:</w:t>
      </w:r>
      <w:r>
        <w:rPr>
          <w:lang w:val="en-US"/>
        </w:rPr>
        <w:t xml:space="preserve"> </w:t>
      </w:r>
      <w:hyperlink r:id="rId1" w:history="1">
        <w:r w:rsidRPr="00D86E82">
          <w:rPr>
            <w:rStyle w:val="Hyperlink"/>
            <w:lang w:val="en-US"/>
          </w:rPr>
          <w:t>https://www.cips-indonesia.org/post/policy-brief-digital-taxation-in-indonesia</w:t>
        </w:r>
      </w:hyperlink>
    </w:p>
  </w:footnote>
  <w:footnote w:id="3">
    <w:p w14:paraId="13165022" w14:textId="4C817E67" w:rsidR="00C85DE3" w:rsidRPr="00C85DE3" w:rsidRDefault="00C85DE3">
      <w:pPr>
        <w:pStyle w:val="FootnoteText"/>
        <w:rPr>
          <w:lang w:val="en-US"/>
        </w:rPr>
      </w:pPr>
      <w:r>
        <w:rPr>
          <w:rStyle w:val="FootnoteReference"/>
        </w:rPr>
        <w:footnoteRef/>
      </w:r>
      <w:r>
        <w:t xml:space="preserve"> </w:t>
      </w:r>
      <w:r w:rsidRPr="000C68E8">
        <w:rPr>
          <w:lang w:val="en-US"/>
        </w:rPr>
        <w:t>McKenzie. B. (2019). Indonesia: New Regulation on Electronic System and Transactions. available at:</w:t>
      </w:r>
      <w:r>
        <w:rPr>
          <w:lang w:val="en-US"/>
        </w:rPr>
        <w:t xml:space="preserve"> </w:t>
      </w:r>
      <w:hyperlink r:id="rId2" w:history="1">
        <w:r w:rsidRPr="00D86E82">
          <w:rPr>
            <w:rStyle w:val="Hyperlink"/>
            <w:lang w:val="en-US"/>
          </w:rPr>
          <w:t>https://www.bakermckenzie.com/en/insight/publications/2020/04/use-of-electronic-signatures-during-covid19</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D65F2"/>
    <w:multiLevelType w:val="hybridMultilevel"/>
    <w:tmpl w:val="B3F42D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360816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44AF"/>
    <w:rsid w:val="00000479"/>
    <w:rsid w:val="00001B39"/>
    <w:rsid w:val="00001FBE"/>
    <w:rsid w:val="00003CB7"/>
    <w:rsid w:val="0000613B"/>
    <w:rsid w:val="00011243"/>
    <w:rsid w:val="000123D3"/>
    <w:rsid w:val="00015432"/>
    <w:rsid w:val="00020CD0"/>
    <w:rsid w:val="00024BF9"/>
    <w:rsid w:val="00025D44"/>
    <w:rsid w:val="00026D86"/>
    <w:rsid w:val="00027E3D"/>
    <w:rsid w:val="00031E75"/>
    <w:rsid w:val="00032702"/>
    <w:rsid w:val="000337D9"/>
    <w:rsid w:val="0003645F"/>
    <w:rsid w:val="00037DC5"/>
    <w:rsid w:val="00040708"/>
    <w:rsid w:val="00042A69"/>
    <w:rsid w:val="00045857"/>
    <w:rsid w:val="00046503"/>
    <w:rsid w:val="00047325"/>
    <w:rsid w:val="00051242"/>
    <w:rsid w:val="00051C0F"/>
    <w:rsid w:val="00053DD8"/>
    <w:rsid w:val="000566F7"/>
    <w:rsid w:val="0005753F"/>
    <w:rsid w:val="00061D0E"/>
    <w:rsid w:val="000638E2"/>
    <w:rsid w:val="00063A68"/>
    <w:rsid w:val="000652B8"/>
    <w:rsid w:val="000705AF"/>
    <w:rsid w:val="00070643"/>
    <w:rsid w:val="00070DC4"/>
    <w:rsid w:val="00071C37"/>
    <w:rsid w:val="00073100"/>
    <w:rsid w:val="0007387A"/>
    <w:rsid w:val="00074AFD"/>
    <w:rsid w:val="00075879"/>
    <w:rsid w:val="0008145B"/>
    <w:rsid w:val="000901CB"/>
    <w:rsid w:val="00096F55"/>
    <w:rsid w:val="000A1AF9"/>
    <w:rsid w:val="000A2142"/>
    <w:rsid w:val="000A3500"/>
    <w:rsid w:val="000A5437"/>
    <w:rsid w:val="000A55BC"/>
    <w:rsid w:val="000A6418"/>
    <w:rsid w:val="000B293D"/>
    <w:rsid w:val="000B340C"/>
    <w:rsid w:val="000C0FDC"/>
    <w:rsid w:val="000C205C"/>
    <w:rsid w:val="000C4694"/>
    <w:rsid w:val="000C49F3"/>
    <w:rsid w:val="000C5992"/>
    <w:rsid w:val="000C68E8"/>
    <w:rsid w:val="000C7822"/>
    <w:rsid w:val="000C7BE7"/>
    <w:rsid w:val="000D0121"/>
    <w:rsid w:val="000D1498"/>
    <w:rsid w:val="000D17BE"/>
    <w:rsid w:val="000D3CC2"/>
    <w:rsid w:val="000D4516"/>
    <w:rsid w:val="000D4C4F"/>
    <w:rsid w:val="000D6BB9"/>
    <w:rsid w:val="000D70B0"/>
    <w:rsid w:val="000E06EF"/>
    <w:rsid w:val="000E4B7E"/>
    <w:rsid w:val="000E6351"/>
    <w:rsid w:val="000E7C65"/>
    <w:rsid w:val="000F0517"/>
    <w:rsid w:val="00101D86"/>
    <w:rsid w:val="00103691"/>
    <w:rsid w:val="00103A8D"/>
    <w:rsid w:val="001045BD"/>
    <w:rsid w:val="001046E6"/>
    <w:rsid w:val="00105331"/>
    <w:rsid w:val="00107A6D"/>
    <w:rsid w:val="00110900"/>
    <w:rsid w:val="0011102D"/>
    <w:rsid w:val="00112CC5"/>
    <w:rsid w:val="00113980"/>
    <w:rsid w:val="00115AD8"/>
    <w:rsid w:val="00122D91"/>
    <w:rsid w:val="0012688A"/>
    <w:rsid w:val="00127353"/>
    <w:rsid w:val="001323C9"/>
    <w:rsid w:val="0013478E"/>
    <w:rsid w:val="00134C2E"/>
    <w:rsid w:val="00137330"/>
    <w:rsid w:val="00137719"/>
    <w:rsid w:val="00142DA7"/>
    <w:rsid w:val="0014317D"/>
    <w:rsid w:val="00150544"/>
    <w:rsid w:val="00156784"/>
    <w:rsid w:val="0016056C"/>
    <w:rsid w:val="00160CD3"/>
    <w:rsid w:val="00161470"/>
    <w:rsid w:val="00163401"/>
    <w:rsid w:val="001637DC"/>
    <w:rsid w:val="00165187"/>
    <w:rsid w:val="00165A3A"/>
    <w:rsid w:val="00167F7B"/>
    <w:rsid w:val="00171734"/>
    <w:rsid w:val="0017184A"/>
    <w:rsid w:val="0017483D"/>
    <w:rsid w:val="00177D86"/>
    <w:rsid w:val="00186BD1"/>
    <w:rsid w:val="00187D22"/>
    <w:rsid w:val="00187EE0"/>
    <w:rsid w:val="001970AA"/>
    <w:rsid w:val="001A225E"/>
    <w:rsid w:val="001A264F"/>
    <w:rsid w:val="001A26D8"/>
    <w:rsid w:val="001A71CA"/>
    <w:rsid w:val="001B0664"/>
    <w:rsid w:val="001B248A"/>
    <w:rsid w:val="001B24ED"/>
    <w:rsid w:val="001B732A"/>
    <w:rsid w:val="001B7405"/>
    <w:rsid w:val="001C007A"/>
    <w:rsid w:val="001C32A8"/>
    <w:rsid w:val="001D5DBF"/>
    <w:rsid w:val="001E0F89"/>
    <w:rsid w:val="001E1D88"/>
    <w:rsid w:val="001E5F9B"/>
    <w:rsid w:val="001E718F"/>
    <w:rsid w:val="001E74A3"/>
    <w:rsid w:val="001E7618"/>
    <w:rsid w:val="001F0341"/>
    <w:rsid w:val="001F1557"/>
    <w:rsid w:val="001F4336"/>
    <w:rsid w:val="001F4CFB"/>
    <w:rsid w:val="001F6E12"/>
    <w:rsid w:val="001F6F9E"/>
    <w:rsid w:val="001F7F34"/>
    <w:rsid w:val="00204638"/>
    <w:rsid w:val="002063A6"/>
    <w:rsid w:val="002073D3"/>
    <w:rsid w:val="002101F9"/>
    <w:rsid w:val="002138E2"/>
    <w:rsid w:val="00216ECF"/>
    <w:rsid w:val="0022088B"/>
    <w:rsid w:val="00220979"/>
    <w:rsid w:val="00220DB2"/>
    <w:rsid w:val="00221B45"/>
    <w:rsid w:val="00222FDE"/>
    <w:rsid w:val="00224D70"/>
    <w:rsid w:val="00232110"/>
    <w:rsid w:val="0023352F"/>
    <w:rsid w:val="00236178"/>
    <w:rsid w:val="00236C16"/>
    <w:rsid w:val="0024114D"/>
    <w:rsid w:val="002413F1"/>
    <w:rsid w:val="0024163D"/>
    <w:rsid w:val="00241C7B"/>
    <w:rsid w:val="00251FB4"/>
    <w:rsid w:val="00252C40"/>
    <w:rsid w:val="00260FD4"/>
    <w:rsid w:val="00265EC7"/>
    <w:rsid w:val="00271E66"/>
    <w:rsid w:val="002720F4"/>
    <w:rsid w:val="002726DB"/>
    <w:rsid w:val="00276526"/>
    <w:rsid w:val="00277BAD"/>
    <w:rsid w:val="002828F5"/>
    <w:rsid w:val="00284DCA"/>
    <w:rsid w:val="002850DA"/>
    <w:rsid w:val="0029054C"/>
    <w:rsid w:val="00292582"/>
    <w:rsid w:val="002934B5"/>
    <w:rsid w:val="00294B89"/>
    <w:rsid w:val="00295BDB"/>
    <w:rsid w:val="00297873"/>
    <w:rsid w:val="00297ED8"/>
    <w:rsid w:val="002A3D36"/>
    <w:rsid w:val="002A47F9"/>
    <w:rsid w:val="002A5F53"/>
    <w:rsid w:val="002A68EE"/>
    <w:rsid w:val="002B07F4"/>
    <w:rsid w:val="002B1F52"/>
    <w:rsid w:val="002B2FBC"/>
    <w:rsid w:val="002B3229"/>
    <w:rsid w:val="002B48A7"/>
    <w:rsid w:val="002B53CF"/>
    <w:rsid w:val="002B5656"/>
    <w:rsid w:val="002C077E"/>
    <w:rsid w:val="002C0DC2"/>
    <w:rsid w:val="002C497E"/>
    <w:rsid w:val="002C5B8D"/>
    <w:rsid w:val="002D08AE"/>
    <w:rsid w:val="002D08E4"/>
    <w:rsid w:val="002D16D1"/>
    <w:rsid w:val="002D2030"/>
    <w:rsid w:val="002D5744"/>
    <w:rsid w:val="002E0375"/>
    <w:rsid w:val="002E2B18"/>
    <w:rsid w:val="002E4CE7"/>
    <w:rsid w:val="002E4D7C"/>
    <w:rsid w:val="002F2B81"/>
    <w:rsid w:val="002F2F8F"/>
    <w:rsid w:val="002F41F4"/>
    <w:rsid w:val="002F4DBF"/>
    <w:rsid w:val="002F594B"/>
    <w:rsid w:val="002F6C02"/>
    <w:rsid w:val="00301D6B"/>
    <w:rsid w:val="00304517"/>
    <w:rsid w:val="00307DA7"/>
    <w:rsid w:val="0031093F"/>
    <w:rsid w:val="00316F04"/>
    <w:rsid w:val="00321E10"/>
    <w:rsid w:val="00322B08"/>
    <w:rsid w:val="00324600"/>
    <w:rsid w:val="00324FF5"/>
    <w:rsid w:val="00326F26"/>
    <w:rsid w:val="0032707B"/>
    <w:rsid w:val="00330EB4"/>
    <w:rsid w:val="00331875"/>
    <w:rsid w:val="003334C0"/>
    <w:rsid w:val="00333DFF"/>
    <w:rsid w:val="00337A0A"/>
    <w:rsid w:val="00337CB9"/>
    <w:rsid w:val="00341955"/>
    <w:rsid w:val="003456C2"/>
    <w:rsid w:val="00355D62"/>
    <w:rsid w:val="0036117E"/>
    <w:rsid w:val="00363122"/>
    <w:rsid w:val="00365F10"/>
    <w:rsid w:val="003702D3"/>
    <w:rsid w:val="0037067D"/>
    <w:rsid w:val="003719EF"/>
    <w:rsid w:val="00371D21"/>
    <w:rsid w:val="003737F9"/>
    <w:rsid w:val="0037631C"/>
    <w:rsid w:val="00376D37"/>
    <w:rsid w:val="00384EE3"/>
    <w:rsid w:val="00391073"/>
    <w:rsid w:val="00391FA0"/>
    <w:rsid w:val="00392669"/>
    <w:rsid w:val="00392928"/>
    <w:rsid w:val="00395593"/>
    <w:rsid w:val="003A5DCF"/>
    <w:rsid w:val="003B1C82"/>
    <w:rsid w:val="003B1F53"/>
    <w:rsid w:val="003B2D7A"/>
    <w:rsid w:val="003B358B"/>
    <w:rsid w:val="003B37E7"/>
    <w:rsid w:val="003B4D12"/>
    <w:rsid w:val="003B69BC"/>
    <w:rsid w:val="003C1A39"/>
    <w:rsid w:val="003C2F71"/>
    <w:rsid w:val="003C72D7"/>
    <w:rsid w:val="003D1E63"/>
    <w:rsid w:val="003D40B3"/>
    <w:rsid w:val="003D731B"/>
    <w:rsid w:val="003E1510"/>
    <w:rsid w:val="003E18C5"/>
    <w:rsid w:val="003E2A26"/>
    <w:rsid w:val="003E3D9A"/>
    <w:rsid w:val="003E5830"/>
    <w:rsid w:val="003F5B80"/>
    <w:rsid w:val="0040235B"/>
    <w:rsid w:val="004068E6"/>
    <w:rsid w:val="00406C55"/>
    <w:rsid w:val="00411857"/>
    <w:rsid w:val="00416F9E"/>
    <w:rsid w:val="00420BDA"/>
    <w:rsid w:val="00420ED2"/>
    <w:rsid w:val="0043360A"/>
    <w:rsid w:val="00433E49"/>
    <w:rsid w:val="004344AF"/>
    <w:rsid w:val="00434B53"/>
    <w:rsid w:val="00435A88"/>
    <w:rsid w:val="00437150"/>
    <w:rsid w:val="00440042"/>
    <w:rsid w:val="00445EC6"/>
    <w:rsid w:val="00446E67"/>
    <w:rsid w:val="00450A1A"/>
    <w:rsid w:val="00451F04"/>
    <w:rsid w:val="00454B3D"/>
    <w:rsid w:val="00457883"/>
    <w:rsid w:val="00457FD6"/>
    <w:rsid w:val="00460754"/>
    <w:rsid w:val="00460FEA"/>
    <w:rsid w:val="004614BB"/>
    <w:rsid w:val="0046186E"/>
    <w:rsid w:val="00461D17"/>
    <w:rsid w:val="00462902"/>
    <w:rsid w:val="004629B7"/>
    <w:rsid w:val="004632C1"/>
    <w:rsid w:val="00463D3F"/>
    <w:rsid w:val="00464A35"/>
    <w:rsid w:val="00464A8D"/>
    <w:rsid w:val="00467091"/>
    <w:rsid w:val="00467566"/>
    <w:rsid w:val="00471AF3"/>
    <w:rsid w:val="00475EE6"/>
    <w:rsid w:val="004772D5"/>
    <w:rsid w:val="00480267"/>
    <w:rsid w:val="00481CA2"/>
    <w:rsid w:val="004820BC"/>
    <w:rsid w:val="0048384E"/>
    <w:rsid w:val="00483D06"/>
    <w:rsid w:val="00485D19"/>
    <w:rsid w:val="004873B1"/>
    <w:rsid w:val="0049087D"/>
    <w:rsid w:val="0049123A"/>
    <w:rsid w:val="004924A8"/>
    <w:rsid w:val="00494843"/>
    <w:rsid w:val="0049559B"/>
    <w:rsid w:val="004A20A4"/>
    <w:rsid w:val="004A21DB"/>
    <w:rsid w:val="004B1111"/>
    <w:rsid w:val="004B2383"/>
    <w:rsid w:val="004B2A11"/>
    <w:rsid w:val="004B3C04"/>
    <w:rsid w:val="004B6F6F"/>
    <w:rsid w:val="004B7925"/>
    <w:rsid w:val="004C33C3"/>
    <w:rsid w:val="004C5E61"/>
    <w:rsid w:val="004C6B09"/>
    <w:rsid w:val="004D0AC3"/>
    <w:rsid w:val="004D3733"/>
    <w:rsid w:val="004D3F17"/>
    <w:rsid w:val="004D5DB8"/>
    <w:rsid w:val="004D6CE2"/>
    <w:rsid w:val="004D6DA8"/>
    <w:rsid w:val="004D70DA"/>
    <w:rsid w:val="004D79D6"/>
    <w:rsid w:val="004D7FC1"/>
    <w:rsid w:val="004E09AE"/>
    <w:rsid w:val="004E3F98"/>
    <w:rsid w:val="004E42AF"/>
    <w:rsid w:val="004E463E"/>
    <w:rsid w:val="004F00C6"/>
    <w:rsid w:val="004F019D"/>
    <w:rsid w:val="004F1FE7"/>
    <w:rsid w:val="004F32FC"/>
    <w:rsid w:val="004F56F6"/>
    <w:rsid w:val="005007F2"/>
    <w:rsid w:val="005010DD"/>
    <w:rsid w:val="00501E85"/>
    <w:rsid w:val="0050556E"/>
    <w:rsid w:val="00506915"/>
    <w:rsid w:val="00512266"/>
    <w:rsid w:val="00512369"/>
    <w:rsid w:val="00513BA2"/>
    <w:rsid w:val="005142D1"/>
    <w:rsid w:val="005146A0"/>
    <w:rsid w:val="00515235"/>
    <w:rsid w:val="00516365"/>
    <w:rsid w:val="0052209E"/>
    <w:rsid w:val="0052308A"/>
    <w:rsid w:val="005239D5"/>
    <w:rsid w:val="00526A72"/>
    <w:rsid w:val="00535AAE"/>
    <w:rsid w:val="00537C9F"/>
    <w:rsid w:val="00545EF1"/>
    <w:rsid w:val="0054682E"/>
    <w:rsid w:val="00546E63"/>
    <w:rsid w:val="005507FD"/>
    <w:rsid w:val="0055705C"/>
    <w:rsid w:val="00560FDE"/>
    <w:rsid w:val="005617EB"/>
    <w:rsid w:val="00561D2D"/>
    <w:rsid w:val="0056709D"/>
    <w:rsid w:val="0057053E"/>
    <w:rsid w:val="005718B9"/>
    <w:rsid w:val="00571C2C"/>
    <w:rsid w:val="00572352"/>
    <w:rsid w:val="005765B5"/>
    <w:rsid w:val="005771B5"/>
    <w:rsid w:val="005811D4"/>
    <w:rsid w:val="00590C7D"/>
    <w:rsid w:val="0059265C"/>
    <w:rsid w:val="0059320D"/>
    <w:rsid w:val="00593F9E"/>
    <w:rsid w:val="00596839"/>
    <w:rsid w:val="005968F7"/>
    <w:rsid w:val="00597140"/>
    <w:rsid w:val="005A403C"/>
    <w:rsid w:val="005A53B9"/>
    <w:rsid w:val="005A5460"/>
    <w:rsid w:val="005A6120"/>
    <w:rsid w:val="005A73C9"/>
    <w:rsid w:val="005A7C44"/>
    <w:rsid w:val="005A7E71"/>
    <w:rsid w:val="005B1E77"/>
    <w:rsid w:val="005B2AF0"/>
    <w:rsid w:val="005B519B"/>
    <w:rsid w:val="005B7A67"/>
    <w:rsid w:val="005C0491"/>
    <w:rsid w:val="005C2374"/>
    <w:rsid w:val="005C2FEE"/>
    <w:rsid w:val="005C3922"/>
    <w:rsid w:val="005C5E8A"/>
    <w:rsid w:val="005D1495"/>
    <w:rsid w:val="005E0ACA"/>
    <w:rsid w:val="005E1223"/>
    <w:rsid w:val="005E29D3"/>
    <w:rsid w:val="005E40D9"/>
    <w:rsid w:val="005E564D"/>
    <w:rsid w:val="005E7FED"/>
    <w:rsid w:val="005F1B14"/>
    <w:rsid w:val="005F23BE"/>
    <w:rsid w:val="005F37A2"/>
    <w:rsid w:val="005F4F99"/>
    <w:rsid w:val="006002D9"/>
    <w:rsid w:val="006008F4"/>
    <w:rsid w:val="0060342E"/>
    <w:rsid w:val="0060567C"/>
    <w:rsid w:val="006136E7"/>
    <w:rsid w:val="00620857"/>
    <w:rsid w:val="00621E04"/>
    <w:rsid w:val="0062325B"/>
    <w:rsid w:val="00625627"/>
    <w:rsid w:val="006267D6"/>
    <w:rsid w:val="00630101"/>
    <w:rsid w:val="006319E4"/>
    <w:rsid w:val="00632548"/>
    <w:rsid w:val="006335DE"/>
    <w:rsid w:val="00633AB9"/>
    <w:rsid w:val="006354E9"/>
    <w:rsid w:val="00635C47"/>
    <w:rsid w:val="006370F2"/>
    <w:rsid w:val="00641BD0"/>
    <w:rsid w:val="00642DB2"/>
    <w:rsid w:val="006451BA"/>
    <w:rsid w:val="006472D4"/>
    <w:rsid w:val="006503E2"/>
    <w:rsid w:val="00653C20"/>
    <w:rsid w:val="0065577E"/>
    <w:rsid w:val="00660E6D"/>
    <w:rsid w:val="006706BA"/>
    <w:rsid w:val="00670C76"/>
    <w:rsid w:val="006715A7"/>
    <w:rsid w:val="00674655"/>
    <w:rsid w:val="00675559"/>
    <w:rsid w:val="00687B9D"/>
    <w:rsid w:val="00694E08"/>
    <w:rsid w:val="0069526E"/>
    <w:rsid w:val="00695995"/>
    <w:rsid w:val="006959E4"/>
    <w:rsid w:val="00695E5A"/>
    <w:rsid w:val="006A6ABC"/>
    <w:rsid w:val="006B0637"/>
    <w:rsid w:val="006B1298"/>
    <w:rsid w:val="006B2486"/>
    <w:rsid w:val="006B2B69"/>
    <w:rsid w:val="006B3547"/>
    <w:rsid w:val="006C179A"/>
    <w:rsid w:val="006C1934"/>
    <w:rsid w:val="006C1F50"/>
    <w:rsid w:val="006C3A1D"/>
    <w:rsid w:val="006C3C5F"/>
    <w:rsid w:val="006C3DF3"/>
    <w:rsid w:val="006C412F"/>
    <w:rsid w:val="006D06D3"/>
    <w:rsid w:val="006D07A9"/>
    <w:rsid w:val="006D1211"/>
    <w:rsid w:val="006D2D8C"/>
    <w:rsid w:val="006D3601"/>
    <w:rsid w:val="006F0116"/>
    <w:rsid w:val="006F3882"/>
    <w:rsid w:val="006F4F1D"/>
    <w:rsid w:val="006F5EB5"/>
    <w:rsid w:val="006F7D28"/>
    <w:rsid w:val="00703425"/>
    <w:rsid w:val="007047A0"/>
    <w:rsid w:val="00711D97"/>
    <w:rsid w:val="00711E42"/>
    <w:rsid w:val="00713BC8"/>
    <w:rsid w:val="00713DD0"/>
    <w:rsid w:val="007149A0"/>
    <w:rsid w:val="00716E80"/>
    <w:rsid w:val="00717E56"/>
    <w:rsid w:val="007254B9"/>
    <w:rsid w:val="00732F68"/>
    <w:rsid w:val="00733413"/>
    <w:rsid w:val="00734F4E"/>
    <w:rsid w:val="00735459"/>
    <w:rsid w:val="00736BD4"/>
    <w:rsid w:val="0073776C"/>
    <w:rsid w:val="007379A1"/>
    <w:rsid w:val="00740C74"/>
    <w:rsid w:val="007435AD"/>
    <w:rsid w:val="0075028D"/>
    <w:rsid w:val="00752589"/>
    <w:rsid w:val="00753957"/>
    <w:rsid w:val="00753A66"/>
    <w:rsid w:val="00753BB5"/>
    <w:rsid w:val="00753EF5"/>
    <w:rsid w:val="00754400"/>
    <w:rsid w:val="00754AE8"/>
    <w:rsid w:val="00756592"/>
    <w:rsid w:val="00762218"/>
    <w:rsid w:val="00763053"/>
    <w:rsid w:val="007639B7"/>
    <w:rsid w:val="00766CE0"/>
    <w:rsid w:val="007702BE"/>
    <w:rsid w:val="00773776"/>
    <w:rsid w:val="00777021"/>
    <w:rsid w:val="00777321"/>
    <w:rsid w:val="00783FC1"/>
    <w:rsid w:val="00785BCC"/>
    <w:rsid w:val="00787B6C"/>
    <w:rsid w:val="00792134"/>
    <w:rsid w:val="00797FE6"/>
    <w:rsid w:val="007A3F6E"/>
    <w:rsid w:val="007A52FF"/>
    <w:rsid w:val="007B0D13"/>
    <w:rsid w:val="007B3FB9"/>
    <w:rsid w:val="007B4EEE"/>
    <w:rsid w:val="007C3049"/>
    <w:rsid w:val="007C577D"/>
    <w:rsid w:val="007C68AF"/>
    <w:rsid w:val="007C7F7B"/>
    <w:rsid w:val="007D0E9D"/>
    <w:rsid w:val="007D2496"/>
    <w:rsid w:val="007D2F3E"/>
    <w:rsid w:val="007D3707"/>
    <w:rsid w:val="007D5808"/>
    <w:rsid w:val="007D6268"/>
    <w:rsid w:val="007D6679"/>
    <w:rsid w:val="007D67E0"/>
    <w:rsid w:val="007E738A"/>
    <w:rsid w:val="007E7D86"/>
    <w:rsid w:val="007F046D"/>
    <w:rsid w:val="007F1F2E"/>
    <w:rsid w:val="007F1FDE"/>
    <w:rsid w:val="007F2275"/>
    <w:rsid w:val="007F2D02"/>
    <w:rsid w:val="00803370"/>
    <w:rsid w:val="008067CD"/>
    <w:rsid w:val="008070C9"/>
    <w:rsid w:val="00814B24"/>
    <w:rsid w:val="00815754"/>
    <w:rsid w:val="00816614"/>
    <w:rsid w:val="00816D63"/>
    <w:rsid w:val="00817641"/>
    <w:rsid w:val="0082088B"/>
    <w:rsid w:val="00824F94"/>
    <w:rsid w:val="0082752C"/>
    <w:rsid w:val="00831B7E"/>
    <w:rsid w:val="008360FB"/>
    <w:rsid w:val="00840814"/>
    <w:rsid w:val="008444DB"/>
    <w:rsid w:val="0084571D"/>
    <w:rsid w:val="00852B07"/>
    <w:rsid w:val="008540C3"/>
    <w:rsid w:val="00854406"/>
    <w:rsid w:val="00854E8F"/>
    <w:rsid w:val="00855EB0"/>
    <w:rsid w:val="00860FA6"/>
    <w:rsid w:val="008636C8"/>
    <w:rsid w:val="0086394E"/>
    <w:rsid w:val="00864F8A"/>
    <w:rsid w:val="0086581B"/>
    <w:rsid w:val="008663A2"/>
    <w:rsid w:val="00867C92"/>
    <w:rsid w:val="0087082B"/>
    <w:rsid w:val="00871FC3"/>
    <w:rsid w:val="00875B8B"/>
    <w:rsid w:val="00877DF1"/>
    <w:rsid w:val="00882695"/>
    <w:rsid w:val="0088363C"/>
    <w:rsid w:val="008839E1"/>
    <w:rsid w:val="00894A2E"/>
    <w:rsid w:val="008967D9"/>
    <w:rsid w:val="00897ADF"/>
    <w:rsid w:val="008A2F7E"/>
    <w:rsid w:val="008A4BA8"/>
    <w:rsid w:val="008B4CB0"/>
    <w:rsid w:val="008B5CB4"/>
    <w:rsid w:val="008B67DB"/>
    <w:rsid w:val="008C0A25"/>
    <w:rsid w:val="008C1205"/>
    <w:rsid w:val="008C519E"/>
    <w:rsid w:val="008C5733"/>
    <w:rsid w:val="008D27DE"/>
    <w:rsid w:val="008D31C5"/>
    <w:rsid w:val="008D4AC8"/>
    <w:rsid w:val="008D6511"/>
    <w:rsid w:val="008E7CEF"/>
    <w:rsid w:val="008F0BEA"/>
    <w:rsid w:val="008F2AB7"/>
    <w:rsid w:val="008F355A"/>
    <w:rsid w:val="008F3BDA"/>
    <w:rsid w:val="008F496B"/>
    <w:rsid w:val="008F53F8"/>
    <w:rsid w:val="008F69A5"/>
    <w:rsid w:val="008F6FD8"/>
    <w:rsid w:val="008F72FC"/>
    <w:rsid w:val="00902E3F"/>
    <w:rsid w:val="00902FB8"/>
    <w:rsid w:val="00903741"/>
    <w:rsid w:val="009041D3"/>
    <w:rsid w:val="00910FF0"/>
    <w:rsid w:val="009128AB"/>
    <w:rsid w:val="009129E8"/>
    <w:rsid w:val="00916950"/>
    <w:rsid w:val="00916996"/>
    <w:rsid w:val="00922229"/>
    <w:rsid w:val="00922A5B"/>
    <w:rsid w:val="009302CD"/>
    <w:rsid w:val="00932883"/>
    <w:rsid w:val="009359DF"/>
    <w:rsid w:val="0093695B"/>
    <w:rsid w:val="009373EE"/>
    <w:rsid w:val="009455E1"/>
    <w:rsid w:val="00945FAD"/>
    <w:rsid w:val="00946768"/>
    <w:rsid w:val="009500A9"/>
    <w:rsid w:val="00953F89"/>
    <w:rsid w:val="00961121"/>
    <w:rsid w:val="00961ABB"/>
    <w:rsid w:val="009623FD"/>
    <w:rsid w:val="00967713"/>
    <w:rsid w:val="00970C3A"/>
    <w:rsid w:val="00973EA7"/>
    <w:rsid w:val="009751C4"/>
    <w:rsid w:val="009755EF"/>
    <w:rsid w:val="009801F9"/>
    <w:rsid w:val="00982D60"/>
    <w:rsid w:val="00983769"/>
    <w:rsid w:val="00983981"/>
    <w:rsid w:val="00984676"/>
    <w:rsid w:val="00987FB2"/>
    <w:rsid w:val="00991DE7"/>
    <w:rsid w:val="009939EC"/>
    <w:rsid w:val="009947B8"/>
    <w:rsid w:val="00996D79"/>
    <w:rsid w:val="009A03B6"/>
    <w:rsid w:val="009A0A59"/>
    <w:rsid w:val="009A2457"/>
    <w:rsid w:val="009A45E8"/>
    <w:rsid w:val="009A5AED"/>
    <w:rsid w:val="009A5D76"/>
    <w:rsid w:val="009A6A5B"/>
    <w:rsid w:val="009B1931"/>
    <w:rsid w:val="009B2235"/>
    <w:rsid w:val="009B66B5"/>
    <w:rsid w:val="009B7DA2"/>
    <w:rsid w:val="009C26CA"/>
    <w:rsid w:val="009C405F"/>
    <w:rsid w:val="009C6FF0"/>
    <w:rsid w:val="009D207B"/>
    <w:rsid w:val="009D2C3A"/>
    <w:rsid w:val="009D354C"/>
    <w:rsid w:val="009D4BE2"/>
    <w:rsid w:val="009D57D0"/>
    <w:rsid w:val="009D5AFD"/>
    <w:rsid w:val="009D7424"/>
    <w:rsid w:val="009D74D7"/>
    <w:rsid w:val="009E0CD2"/>
    <w:rsid w:val="009E1D43"/>
    <w:rsid w:val="009F002F"/>
    <w:rsid w:val="009F2A00"/>
    <w:rsid w:val="009F3037"/>
    <w:rsid w:val="009F447B"/>
    <w:rsid w:val="009F6BD6"/>
    <w:rsid w:val="00A0296E"/>
    <w:rsid w:val="00A04A7F"/>
    <w:rsid w:val="00A0647B"/>
    <w:rsid w:val="00A06FC2"/>
    <w:rsid w:val="00A07A65"/>
    <w:rsid w:val="00A13A13"/>
    <w:rsid w:val="00A21B08"/>
    <w:rsid w:val="00A226B7"/>
    <w:rsid w:val="00A23187"/>
    <w:rsid w:val="00A36FB8"/>
    <w:rsid w:val="00A37925"/>
    <w:rsid w:val="00A431D0"/>
    <w:rsid w:val="00A44A15"/>
    <w:rsid w:val="00A45BC8"/>
    <w:rsid w:val="00A51BA9"/>
    <w:rsid w:val="00A530FB"/>
    <w:rsid w:val="00A53A84"/>
    <w:rsid w:val="00A55BDF"/>
    <w:rsid w:val="00A6127A"/>
    <w:rsid w:val="00A61E3C"/>
    <w:rsid w:val="00A64BAF"/>
    <w:rsid w:val="00A65009"/>
    <w:rsid w:val="00A66EC6"/>
    <w:rsid w:val="00A769E9"/>
    <w:rsid w:val="00A76CEA"/>
    <w:rsid w:val="00A827EC"/>
    <w:rsid w:val="00A84B00"/>
    <w:rsid w:val="00A86375"/>
    <w:rsid w:val="00A8717D"/>
    <w:rsid w:val="00A8759D"/>
    <w:rsid w:val="00A90D74"/>
    <w:rsid w:val="00A94407"/>
    <w:rsid w:val="00A94D48"/>
    <w:rsid w:val="00A95180"/>
    <w:rsid w:val="00A95D61"/>
    <w:rsid w:val="00AA0E54"/>
    <w:rsid w:val="00AA3648"/>
    <w:rsid w:val="00AA54F9"/>
    <w:rsid w:val="00AB27AB"/>
    <w:rsid w:val="00AB30AA"/>
    <w:rsid w:val="00AB46C2"/>
    <w:rsid w:val="00AB511C"/>
    <w:rsid w:val="00AB7940"/>
    <w:rsid w:val="00AC791E"/>
    <w:rsid w:val="00AD0430"/>
    <w:rsid w:val="00AD0B50"/>
    <w:rsid w:val="00AD3F40"/>
    <w:rsid w:val="00AD4396"/>
    <w:rsid w:val="00AD4D0F"/>
    <w:rsid w:val="00AD67C4"/>
    <w:rsid w:val="00AE0971"/>
    <w:rsid w:val="00AE2A4D"/>
    <w:rsid w:val="00AE3B92"/>
    <w:rsid w:val="00AE5643"/>
    <w:rsid w:val="00AF2D47"/>
    <w:rsid w:val="00AF5BA9"/>
    <w:rsid w:val="00B06690"/>
    <w:rsid w:val="00B10159"/>
    <w:rsid w:val="00B104AE"/>
    <w:rsid w:val="00B115F5"/>
    <w:rsid w:val="00B13BDF"/>
    <w:rsid w:val="00B13F3A"/>
    <w:rsid w:val="00B16317"/>
    <w:rsid w:val="00B17838"/>
    <w:rsid w:val="00B214F5"/>
    <w:rsid w:val="00B23C61"/>
    <w:rsid w:val="00B24F74"/>
    <w:rsid w:val="00B31A09"/>
    <w:rsid w:val="00B40877"/>
    <w:rsid w:val="00B47EDC"/>
    <w:rsid w:val="00B50663"/>
    <w:rsid w:val="00B51FFD"/>
    <w:rsid w:val="00B553DA"/>
    <w:rsid w:val="00B62A62"/>
    <w:rsid w:val="00B62D02"/>
    <w:rsid w:val="00B6408F"/>
    <w:rsid w:val="00B67A1B"/>
    <w:rsid w:val="00B71A2C"/>
    <w:rsid w:val="00B725A1"/>
    <w:rsid w:val="00B76F75"/>
    <w:rsid w:val="00B8082D"/>
    <w:rsid w:val="00B809FC"/>
    <w:rsid w:val="00B82120"/>
    <w:rsid w:val="00B87015"/>
    <w:rsid w:val="00B87F3A"/>
    <w:rsid w:val="00B91250"/>
    <w:rsid w:val="00B92175"/>
    <w:rsid w:val="00B92840"/>
    <w:rsid w:val="00B92FBF"/>
    <w:rsid w:val="00B93379"/>
    <w:rsid w:val="00B96FE0"/>
    <w:rsid w:val="00BA08A8"/>
    <w:rsid w:val="00BA11FE"/>
    <w:rsid w:val="00BA56ED"/>
    <w:rsid w:val="00BA6C4C"/>
    <w:rsid w:val="00BB191F"/>
    <w:rsid w:val="00BB3144"/>
    <w:rsid w:val="00BB3DE7"/>
    <w:rsid w:val="00BB5598"/>
    <w:rsid w:val="00BC26C8"/>
    <w:rsid w:val="00BD0171"/>
    <w:rsid w:val="00BD081E"/>
    <w:rsid w:val="00BD0F89"/>
    <w:rsid w:val="00BD35DB"/>
    <w:rsid w:val="00BD4971"/>
    <w:rsid w:val="00BD668D"/>
    <w:rsid w:val="00BE0262"/>
    <w:rsid w:val="00BE0B11"/>
    <w:rsid w:val="00BE0C0D"/>
    <w:rsid w:val="00BE2D09"/>
    <w:rsid w:val="00BE376F"/>
    <w:rsid w:val="00BF073D"/>
    <w:rsid w:val="00BF2503"/>
    <w:rsid w:val="00BF3B31"/>
    <w:rsid w:val="00BF45F6"/>
    <w:rsid w:val="00BF5382"/>
    <w:rsid w:val="00BF59B3"/>
    <w:rsid w:val="00BF5FFF"/>
    <w:rsid w:val="00BF7668"/>
    <w:rsid w:val="00C00F43"/>
    <w:rsid w:val="00C04B78"/>
    <w:rsid w:val="00C05B75"/>
    <w:rsid w:val="00C10EBB"/>
    <w:rsid w:val="00C1466C"/>
    <w:rsid w:val="00C21ACA"/>
    <w:rsid w:val="00C22A73"/>
    <w:rsid w:val="00C31F19"/>
    <w:rsid w:val="00C4266A"/>
    <w:rsid w:val="00C42C6D"/>
    <w:rsid w:val="00C4456C"/>
    <w:rsid w:val="00C508B5"/>
    <w:rsid w:val="00C50DB4"/>
    <w:rsid w:val="00C52058"/>
    <w:rsid w:val="00C5559C"/>
    <w:rsid w:val="00C557DA"/>
    <w:rsid w:val="00C55FC9"/>
    <w:rsid w:val="00C56404"/>
    <w:rsid w:val="00C57E68"/>
    <w:rsid w:val="00C6142F"/>
    <w:rsid w:val="00C634D0"/>
    <w:rsid w:val="00C663C8"/>
    <w:rsid w:val="00C66CDF"/>
    <w:rsid w:val="00C670A2"/>
    <w:rsid w:val="00C67188"/>
    <w:rsid w:val="00C735CD"/>
    <w:rsid w:val="00C83400"/>
    <w:rsid w:val="00C84740"/>
    <w:rsid w:val="00C84772"/>
    <w:rsid w:val="00C85DE3"/>
    <w:rsid w:val="00C8661F"/>
    <w:rsid w:val="00C92773"/>
    <w:rsid w:val="00C92A58"/>
    <w:rsid w:val="00C968EA"/>
    <w:rsid w:val="00C9730E"/>
    <w:rsid w:val="00CA0481"/>
    <w:rsid w:val="00CA11A8"/>
    <w:rsid w:val="00CA484D"/>
    <w:rsid w:val="00CA53AD"/>
    <w:rsid w:val="00CA5A3F"/>
    <w:rsid w:val="00CA7166"/>
    <w:rsid w:val="00CB1033"/>
    <w:rsid w:val="00CB1661"/>
    <w:rsid w:val="00CB21B4"/>
    <w:rsid w:val="00CB637F"/>
    <w:rsid w:val="00CB69D4"/>
    <w:rsid w:val="00CC24A6"/>
    <w:rsid w:val="00CC3C32"/>
    <w:rsid w:val="00CD703D"/>
    <w:rsid w:val="00CD71B1"/>
    <w:rsid w:val="00CE0D75"/>
    <w:rsid w:val="00CE3FAE"/>
    <w:rsid w:val="00CE46E5"/>
    <w:rsid w:val="00CE480F"/>
    <w:rsid w:val="00CE543F"/>
    <w:rsid w:val="00CE5FB6"/>
    <w:rsid w:val="00CE675B"/>
    <w:rsid w:val="00CF0C89"/>
    <w:rsid w:val="00CF0ED3"/>
    <w:rsid w:val="00CF5E6F"/>
    <w:rsid w:val="00CF6602"/>
    <w:rsid w:val="00D02283"/>
    <w:rsid w:val="00D0379B"/>
    <w:rsid w:val="00D06966"/>
    <w:rsid w:val="00D1178A"/>
    <w:rsid w:val="00D11DCC"/>
    <w:rsid w:val="00D125B2"/>
    <w:rsid w:val="00D12E24"/>
    <w:rsid w:val="00D12E7C"/>
    <w:rsid w:val="00D130B1"/>
    <w:rsid w:val="00D139C7"/>
    <w:rsid w:val="00D17105"/>
    <w:rsid w:val="00D17F6B"/>
    <w:rsid w:val="00D20E58"/>
    <w:rsid w:val="00D21290"/>
    <w:rsid w:val="00D235DC"/>
    <w:rsid w:val="00D243FB"/>
    <w:rsid w:val="00D25FE8"/>
    <w:rsid w:val="00D267BC"/>
    <w:rsid w:val="00D33FC2"/>
    <w:rsid w:val="00D3627A"/>
    <w:rsid w:val="00D36369"/>
    <w:rsid w:val="00D40EF8"/>
    <w:rsid w:val="00D410E8"/>
    <w:rsid w:val="00D420A7"/>
    <w:rsid w:val="00D42EB0"/>
    <w:rsid w:val="00D42ED7"/>
    <w:rsid w:val="00D43FF4"/>
    <w:rsid w:val="00D50E18"/>
    <w:rsid w:val="00D540CA"/>
    <w:rsid w:val="00D54207"/>
    <w:rsid w:val="00D707AC"/>
    <w:rsid w:val="00D70DBE"/>
    <w:rsid w:val="00D77C5D"/>
    <w:rsid w:val="00D84059"/>
    <w:rsid w:val="00D860E9"/>
    <w:rsid w:val="00D90E24"/>
    <w:rsid w:val="00D912EE"/>
    <w:rsid w:val="00D91A3E"/>
    <w:rsid w:val="00D944E4"/>
    <w:rsid w:val="00DA03C1"/>
    <w:rsid w:val="00DA1985"/>
    <w:rsid w:val="00DA27EE"/>
    <w:rsid w:val="00DA53BD"/>
    <w:rsid w:val="00DB41E9"/>
    <w:rsid w:val="00DB6C51"/>
    <w:rsid w:val="00DB72CF"/>
    <w:rsid w:val="00DB7829"/>
    <w:rsid w:val="00DC19B4"/>
    <w:rsid w:val="00DC1C49"/>
    <w:rsid w:val="00DC1D2D"/>
    <w:rsid w:val="00DC3A59"/>
    <w:rsid w:val="00DC5ADC"/>
    <w:rsid w:val="00DD1F5E"/>
    <w:rsid w:val="00DE1AC2"/>
    <w:rsid w:val="00DE678C"/>
    <w:rsid w:val="00DE74B3"/>
    <w:rsid w:val="00DF0227"/>
    <w:rsid w:val="00DF2009"/>
    <w:rsid w:val="00DF4C88"/>
    <w:rsid w:val="00E01A69"/>
    <w:rsid w:val="00E02663"/>
    <w:rsid w:val="00E032EE"/>
    <w:rsid w:val="00E107FC"/>
    <w:rsid w:val="00E129DF"/>
    <w:rsid w:val="00E130DE"/>
    <w:rsid w:val="00E13BFC"/>
    <w:rsid w:val="00E14AC1"/>
    <w:rsid w:val="00E15104"/>
    <w:rsid w:val="00E15812"/>
    <w:rsid w:val="00E15FE4"/>
    <w:rsid w:val="00E16373"/>
    <w:rsid w:val="00E16695"/>
    <w:rsid w:val="00E1752C"/>
    <w:rsid w:val="00E17B20"/>
    <w:rsid w:val="00E17F5F"/>
    <w:rsid w:val="00E217D5"/>
    <w:rsid w:val="00E267AA"/>
    <w:rsid w:val="00E319F3"/>
    <w:rsid w:val="00E31F6E"/>
    <w:rsid w:val="00E34CB1"/>
    <w:rsid w:val="00E37C3C"/>
    <w:rsid w:val="00E4095E"/>
    <w:rsid w:val="00E40E09"/>
    <w:rsid w:val="00E41836"/>
    <w:rsid w:val="00E44728"/>
    <w:rsid w:val="00E45661"/>
    <w:rsid w:val="00E46125"/>
    <w:rsid w:val="00E51B96"/>
    <w:rsid w:val="00E52152"/>
    <w:rsid w:val="00E52B52"/>
    <w:rsid w:val="00E5518A"/>
    <w:rsid w:val="00E56052"/>
    <w:rsid w:val="00E644F2"/>
    <w:rsid w:val="00E646CD"/>
    <w:rsid w:val="00E660DD"/>
    <w:rsid w:val="00E673F1"/>
    <w:rsid w:val="00E67408"/>
    <w:rsid w:val="00E72E67"/>
    <w:rsid w:val="00E74A42"/>
    <w:rsid w:val="00E75CBF"/>
    <w:rsid w:val="00E76CFE"/>
    <w:rsid w:val="00E7736D"/>
    <w:rsid w:val="00E77EC1"/>
    <w:rsid w:val="00E86811"/>
    <w:rsid w:val="00E87E4A"/>
    <w:rsid w:val="00E905D4"/>
    <w:rsid w:val="00E914AD"/>
    <w:rsid w:val="00E94638"/>
    <w:rsid w:val="00E950E2"/>
    <w:rsid w:val="00E95952"/>
    <w:rsid w:val="00EA4513"/>
    <w:rsid w:val="00EA4EDD"/>
    <w:rsid w:val="00EA5E8D"/>
    <w:rsid w:val="00EA7330"/>
    <w:rsid w:val="00EB23BB"/>
    <w:rsid w:val="00EB2C39"/>
    <w:rsid w:val="00EB3CA3"/>
    <w:rsid w:val="00EB4021"/>
    <w:rsid w:val="00EB48E8"/>
    <w:rsid w:val="00EB48F2"/>
    <w:rsid w:val="00EB6D9D"/>
    <w:rsid w:val="00EB783F"/>
    <w:rsid w:val="00EC23BC"/>
    <w:rsid w:val="00EC40B5"/>
    <w:rsid w:val="00EC59F1"/>
    <w:rsid w:val="00EC7B09"/>
    <w:rsid w:val="00EC7C7A"/>
    <w:rsid w:val="00EC7D99"/>
    <w:rsid w:val="00ED1133"/>
    <w:rsid w:val="00ED2545"/>
    <w:rsid w:val="00ED2F4A"/>
    <w:rsid w:val="00ED3876"/>
    <w:rsid w:val="00ED6A66"/>
    <w:rsid w:val="00ED6B77"/>
    <w:rsid w:val="00ED78B3"/>
    <w:rsid w:val="00EE1D6D"/>
    <w:rsid w:val="00EE6874"/>
    <w:rsid w:val="00EF2D0C"/>
    <w:rsid w:val="00EF3756"/>
    <w:rsid w:val="00EF55B7"/>
    <w:rsid w:val="00EF5D1E"/>
    <w:rsid w:val="00EF73F1"/>
    <w:rsid w:val="00F01382"/>
    <w:rsid w:val="00F02637"/>
    <w:rsid w:val="00F11A31"/>
    <w:rsid w:val="00F230FD"/>
    <w:rsid w:val="00F2411C"/>
    <w:rsid w:val="00F25004"/>
    <w:rsid w:val="00F26D0F"/>
    <w:rsid w:val="00F3335F"/>
    <w:rsid w:val="00F33788"/>
    <w:rsid w:val="00F37A70"/>
    <w:rsid w:val="00F43176"/>
    <w:rsid w:val="00F43205"/>
    <w:rsid w:val="00F504AE"/>
    <w:rsid w:val="00F523F9"/>
    <w:rsid w:val="00F5268B"/>
    <w:rsid w:val="00F55840"/>
    <w:rsid w:val="00F55FAB"/>
    <w:rsid w:val="00F604A5"/>
    <w:rsid w:val="00F608DC"/>
    <w:rsid w:val="00F61A03"/>
    <w:rsid w:val="00F6342D"/>
    <w:rsid w:val="00F63C4E"/>
    <w:rsid w:val="00F71854"/>
    <w:rsid w:val="00F732A5"/>
    <w:rsid w:val="00F73B9B"/>
    <w:rsid w:val="00F75386"/>
    <w:rsid w:val="00F80398"/>
    <w:rsid w:val="00F83A81"/>
    <w:rsid w:val="00F86A01"/>
    <w:rsid w:val="00F87157"/>
    <w:rsid w:val="00F95E4C"/>
    <w:rsid w:val="00F96ACB"/>
    <w:rsid w:val="00FA16BC"/>
    <w:rsid w:val="00FA5CBA"/>
    <w:rsid w:val="00FB1DC3"/>
    <w:rsid w:val="00FB38A2"/>
    <w:rsid w:val="00FB5055"/>
    <w:rsid w:val="00FB5484"/>
    <w:rsid w:val="00FC1295"/>
    <w:rsid w:val="00FC41A7"/>
    <w:rsid w:val="00FC68A3"/>
    <w:rsid w:val="00FD6E87"/>
    <w:rsid w:val="00FD6F3B"/>
    <w:rsid w:val="00FD7CFB"/>
    <w:rsid w:val="00FE18BC"/>
    <w:rsid w:val="00FF0AFA"/>
    <w:rsid w:val="00FF27E5"/>
    <w:rsid w:val="00FF2BEE"/>
    <w:rsid w:val="00FF428F"/>
    <w:rsid w:val="00FF447A"/>
    <w:rsid w:val="00FF58B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037E"/>
  <w15:docId w15:val="{9DDD03F7-F4B8-4D3D-ACFB-2DAD15F4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A88"/>
    <w:pPr>
      <w:spacing w:after="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435A88"/>
    <w:pPr>
      <w:keepNext/>
      <w:keepLines/>
      <w:spacing w:before="60" w:after="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E46125"/>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A88"/>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E46125"/>
    <w:rPr>
      <w:rFonts w:ascii="Times New Roman" w:eastAsiaTheme="majorEastAsia" w:hAnsi="Times New Roman" w:cstheme="majorBidi"/>
      <w:b/>
      <w:bCs/>
      <w:sz w:val="24"/>
      <w:szCs w:val="26"/>
    </w:rPr>
  </w:style>
  <w:style w:type="character" w:styleId="Hyperlink">
    <w:name w:val="Hyperlink"/>
    <w:basedOn w:val="DefaultParagraphFont"/>
    <w:uiPriority w:val="99"/>
    <w:unhideWhenUsed/>
    <w:rsid w:val="009F6BD6"/>
    <w:rPr>
      <w:color w:val="0000FF" w:themeColor="hyperlink"/>
      <w:u w:val="single"/>
    </w:rPr>
  </w:style>
  <w:style w:type="table" w:styleId="TableGrid">
    <w:name w:val="Table Grid"/>
    <w:basedOn w:val="TableNormal"/>
    <w:uiPriority w:val="59"/>
    <w:rsid w:val="002B2FBC"/>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ptLeftLinespacingsingle">
    <w:name w:val="Style 10 pt Left Line spacing:  single"/>
    <w:basedOn w:val="Normal"/>
    <w:rsid w:val="002B2FBC"/>
    <w:pPr>
      <w:spacing w:line="240" w:lineRule="auto"/>
      <w:jc w:val="center"/>
    </w:pPr>
    <w:rPr>
      <w:rFonts w:eastAsia="Times New Roman" w:cs="Times New Roman"/>
      <w:color w:val="000000" w:themeColor="text1"/>
      <w:sz w:val="20"/>
      <w:szCs w:val="20"/>
      <w:lang w:val="en-US"/>
    </w:rPr>
  </w:style>
  <w:style w:type="character" w:styleId="UnresolvedMention">
    <w:name w:val="Unresolved Mention"/>
    <w:basedOn w:val="DefaultParagraphFont"/>
    <w:uiPriority w:val="99"/>
    <w:semiHidden/>
    <w:unhideWhenUsed/>
    <w:rsid w:val="00C84740"/>
    <w:rPr>
      <w:color w:val="605E5C"/>
      <w:shd w:val="clear" w:color="auto" w:fill="E1DFDD"/>
    </w:rPr>
  </w:style>
  <w:style w:type="paragraph" w:styleId="FootnoteText">
    <w:name w:val="footnote text"/>
    <w:basedOn w:val="Normal"/>
    <w:link w:val="FootnoteTextChar"/>
    <w:uiPriority w:val="99"/>
    <w:semiHidden/>
    <w:unhideWhenUsed/>
    <w:rsid w:val="000C68E8"/>
    <w:pPr>
      <w:spacing w:line="240" w:lineRule="auto"/>
    </w:pPr>
    <w:rPr>
      <w:sz w:val="20"/>
      <w:szCs w:val="20"/>
    </w:rPr>
  </w:style>
  <w:style w:type="character" w:customStyle="1" w:styleId="FootnoteTextChar">
    <w:name w:val="Footnote Text Char"/>
    <w:basedOn w:val="DefaultParagraphFont"/>
    <w:link w:val="FootnoteText"/>
    <w:uiPriority w:val="99"/>
    <w:semiHidden/>
    <w:rsid w:val="000C68E8"/>
    <w:rPr>
      <w:rFonts w:ascii="Times New Roman" w:hAnsi="Times New Roman"/>
      <w:sz w:val="20"/>
      <w:szCs w:val="20"/>
    </w:rPr>
  </w:style>
  <w:style w:type="character" w:styleId="FootnoteReference">
    <w:name w:val="footnote reference"/>
    <w:basedOn w:val="DefaultParagraphFont"/>
    <w:uiPriority w:val="99"/>
    <w:semiHidden/>
    <w:unhideWhenUsed/>
    <w:rsid w:val="000C68E8"/>
    <w:rPr>
      <w:vertAlign w:val="superscript"/>
    </w:rPr>
  </w:style>
  <w:style w:type="paragraph" w:styleId="ListParagraph">
    <w:name w:val="List Paragraph"/>
    <w:basedOn w:val="Normal"/>
    <w:uiPriority w:val="34"/>
    <w:qFormat/>
    <w:rsid w:val="00A8717D"/>
    <w:pPr>
      <w:ind w:left="720"/>
      <w:contextualSpacing/>
    </w:pPr>
  </w:style>
  <w:style w:type="paragraph" w:styleId="Title">
    <w:name w:val="Title"/>
    <w:basedOn w:val="Normal"/>
    <w:next w:val="Normal"/>
    <w:link w:val="TitleChar"/>
    <w:uiPriority w:val="10"/>
    <w:qFormat/>
    <w:rsid w:val="004873B1"/>
    <w:pPr>
      <w:spacing w:before="120" w:after="120" w:line="240" w:lineRule="auto"/>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4873B1"/>
    <w:rPr>
      <w:rFonts w:ascii="Times New Roman" w:eastAsiaTheme="majorEastAsia" w:hAnsi="Times New Roman"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10039">
      <w:bodyDiv w:val="1"/>
      <w:marLeft w:val="0"/>
      <w:marRight w:val="0"/>
      <w:marTop w:val="0"/>
      <w:marBottom w:val="0"/>
      <w:divBdr>
        <w:top w:val="none" w:sz="0" w:space="0" w:color="auto"/>
        <w:left w:val="none" w:sz="0" w:space="0" w:color="auto"/>
        <w:bottom w:val="none" w:sz="0" w:space="0" w:color="auto"/>
        <w:right w:val="none" w:sz="0" w:space="0" w:color="auto"/>
      </w:divBdr>
    </w:div>
    <w:div w:id="115834187">
      <w:bodyDiv w:val="1"/>
      <w:marLeft w:val="0"/>
      <w:marRight w:val="0"/>
      <w:marTop w:val="0"/>
      <w:marBottom w:val="0"/>
      <w:divBdr>
        <w:top w:val="none" w:sz="0" w:space="0" w:color="auto"/>
        <w:left w:val="none" w:sz="0" w:space="0" w:color="auto"/>
        <w:bottom w:val="none" w:sz="0" w:space="0" w:color="auto"/>
        <w:right w:val="none" w:sz="0" w:space="0" w:color="auto"/>
      </w:divBdr>
    </w:div>
    <w:div w:id="117728306">
      <w:bodyDiv w:val="1"/>
      <w:marLeft w:val="0"/>
      <w:marRight w:val="0"/>
      <w:marTop w:val="0"/>
      <w:marBottom w:val="0"/>
      <w:divBdr>
        <w:top w:val="none" w:sz="0" w:space="0" w:color="auto"/>
        <w:left w:val="none" w:sz="0" w:space="0" w:color="auto"/>
        <w:bottom w:val="none" w:sz="0" w:space="0" w:color="auto"/>
        <w:right w:val="none" w:sz="0" w:space="0" w:color="auto"/>
      </w:divBdr>
    </w:div>
    <w:div w:id="308873802">
      <w:bodyDiv w:val="1"/>
      <w:marLeft w:val="0"/>
      <w:marRight w:val="0"/>
      <w:marTop w:val="0"/>
      <w:marBottom w:val="0"/>
      <w:divBdr>
        <w:top w:val="none" w:sz="0" w:space="0" w:color="auto"/>
        <w:left w:val="none" w:sz="0" w:space="0" w:color="auto"/>
        <w:bottom w:val="none" w:sz="0" w:space="0" w:color="auto"/>
        <w:right w:val="none" w:sz="0" w:space="0" w:color="auto"/>
      </w:divBdr>
    </w:div>
    <w:div w:id="436026129">
      <w:bodyDiv w:val="1"/>
      <w:marLeft w:val="0"/>
      <w:marRight w:val="0"/>
      <w:marTop w:val="0"/>
      <w:marBottom w:val="0"/>
      <w:divBdr>
        <w:top w:val="none" w:sz="0" w:space="0" w:color="auto"/>
        <w:left w:val="none" w:sz="0" w:space="0" w:color="auto"/>
        <w:bottom w:val="none" w:sz="0" w:space="0" w:color="auto"/>
        <w:right w:val="none" w:sz="0" w:space="0" w:color="auto"/>
      </w:divBdr>
    </w:div>
    <w:div w:id="747576299">
      <w:bodyDiv w:val="1"/>
      <w:marLeft w:val="0"/>
      <w:marRight w:val="0"/>
      <w:marTop w:val="0"/>
      <w:marBottom w:val="0"/>
      <w:divBdr>
        <w:top w:val="none" w:sz="0" w:space="0" w:color="auto"/>
        <w:left w:val="none" w:sz="0" w:space="0" w:color="auto"/>
        <w:bottom w:val="none" w:sz="0" w:space="0" w:color="auto"/>
        <w:right w:val="none" w:sz="0" w:space="0" w:color="auto"/>
      </w:divBdr>
    </w:div>
    <w:div w:id="839198873">
      <w:bodyDiv w:val="1"/>
      <w:marLeft w:val="0"/>
      <w:marRight w:val="0"/>
      <w:marTop w:val="0"/>
      <w:marBottom w:val="0"/>
      <w:divBdr>
        <w:top w:val="none" w:sz="0" w:space="0" w:color="auto"/>
        <w:left w:val="none" w:sz="0" w:space="0" w:color="auto"/>
        <w:bottom w:val="none" w:sz="0" w:space="0" w:color="auto"/>
        <w:right w:val="none" w:sz="0" w:space="0" w:color="auto"/>
      </w:divBdr>
    </w:div>
    <w:div w:id="933174637">
      <w:bodyDiv w:val="1"/>
      <w:marLeft w:val="0"/>
      <w:marRight w:val="0"/>
      <w:marTop w:val="0"/>
      <w:marBottom w:val="0"/>
      <w:divBdr>
        <w:top w:val="none" w:sz="0" w:space="0" w:color="auto"/>
        <w:left w:val="none" w:sz="0" w:space="0" w:color="auto"/>
        <w:bottom w:val="none" w:sz="0" w:space="0" w:color="auto"/>
        <w:right w:val="none" w:sz="0" w:space="0" w:color="auto"/>
      </w:divBdr>
    </w:div>
    <w:div w:id="968046382">
      <w:bodyDiv w:val="1"/>
      <w:marLeft w:val="0"/>
      <w:marRight w:val="0"/>
      <w:marTop w:val="0"/>
      <w:marBottom w:val="0"/>
      <w:divBdr>
        <w:top w:val="none" w:sz="0" w:space="0" w:color="auto"/>
        <w:left w:val="none" w:sz="0" w:space="0" w:color="auto"/>
        <w:bottom w:val="none" w:sz="0" w:space="0" w:color="auto"/>
        <w:right w:val="none" w:sz="0" w:space="0" w:color="auto"/>
      </w:divBdr>
    </w:div>
    <w:div w:id="1096630402">
      <w:bodyDiv w:val="1"/>
      <w:marLeft w:val="0"/>
      <w:marRight w:val="0"/>
      <w:marTop w:val="0"/>
      <w:marBottom w:val="0"/>
      <w:divBdr>
        <w:top w:val="none" w:sz="0" w:space="0" w:color="auto"/>
        <w:left w:val="none" w:sz="0" w:space="0" w:color="auto"/>
        <w:bottom w:val="none" w:sz="0" w:space="0" w:color="auto"/>
        <w:right w:val="none" w:sz="0" w:space="0" w:color="auto"/>
      </w:divBdr>
    </w:div>
    <w:div w:id="1561675286">
      <w:bodyDiv w:val="1"/>
      <w:marLeft w:val="0"/>
      <w:marRight w:val="0"/>
      <w:marTop w:val="0"/>
      <w:marBottom w:val="0"/>
      <w:divBdr>
        <w:top w:val="none" w:sz="0" w:space="0" w:color="auto"/>
        <w:left w:val="none" w:sz="0" w:space="0" w:color="auto"/>
        <w:bottom w:val="none" w:sz="0" w:space="0" w:color="auto"/>
        <w:right w:val="none" w:sz="0" w:space="0" w:color="auto"/>
      </w:divBdr>
    </w:div>
    <w:div w:id="1593515674">
      <w:bodyDiv w:val="1"/>
      <w:marLeft w:val="0"/>
      <w:marRight w:val="0"/>
      <w:marTop w:val="0"/>
      <w:marBottom w:val="0"/>
      <w:divBdr>
        <w:top w:val="none" w:sz="0" w:space="0" w:color="auto"/>
        <w:left w:val="none" w:sz="0" w:space="0" w:color="auto"/>
        <w:bottom w:val="none" w:sz="0" w:space="0" w:color="auto"/>
        <w:right w:val="none" w:sz="0" w:space="0" w:color="auto"/>
      </w:divBdr>
    </w:div>
    <w:div w:id="1627734332">
      <w:bodyDiv w:val="1"/>
      <w:marLeft w:val="0"/>
      <w:marRight w:val="0"/>
      <w:marTop w:val="0"/>
      <w:marBottom w:val="0"/>
      <w:divBdr>
        <w:top w:val="none" w:sz="0" w:space="0" w:color="auto"/>
        <w:left w:val="none" w:sz="0" w:space="0" w:color="auto"/>
        <w:bottom w:val="none" w:sz="0" w:space="0" w:color="auto"/>
        <w:right w:val="none" w:sz="0" w:space="0" w:color="auto"/>
      </w:divBdr>
    </w:div>
    <w:div w:id="1628196069">
      <w:bodyDiv w:val="1"/>
      <w:marLeft w:val="0"/>
      <w:marRight w:val="0"/>
      <w:marTop w:val="0"/>
      <w:marBottom w:val="0"/>
      <w:divBdr>
        <w:top w:val="none" w:sz="0" w:space="0" w:color="auto"/>
        <w:left w:val="none" w:sz="0" w:space="0" w:color="auto"/>
        <w:bottom w:val="none" w:sz="0" w:space="0" w:color="auto"/>
        <w:right w:val="none" w:sz="0" w:space="0" w:color="auto"/>
      </w:divBdr>
    </w:div>
    <w:div w:id="1630283656">
      <w:bodyDiv w:val="1"/>
      <w:marLeft w:val="0"/>
      <w:marRight w:val="0"/>
      <w:marTop w:val="0"/>
      <w:marBottom w:val="0"/>
      <w:divBdr>
        <w:top w:val="none" w:sz="0" w:space="0" w:color="auto"/>
        <w:left w:val="none" w:sz="0" w:space="0" w:color="auto"/>
        <w:bottom w:val="none" w:sz="0" w:space="0" w:color="auto"/>
        <w:right w:val="none" w:sz="0" w:space="0" w:color="auto"/>
      </w:divBdr>
    </w:div>
    <w:div w:id="1790198932">
      <w:bodyDiv w:val="1"/>
      <w:marLeft w:val="0"/>
      <w:marRight w:val="0"/>
      <w:marTop w:val="0"/>
      <w:marBottom w:val="0"/>
      <w:divBdr>
        <w:top w:val="none" w:sz="0" w:space="0" w:color="auto"/>
        <w:left w:val="none" w:sz="0" w:space="0" w:color="auto"/>
        <w:bottom w:val="none" w:sz="0" w:space="0" w:color="auto"/>
        <w:right w:val="none" w:sz="0" w:space="0" w:color="auto"/>
      </w:divBdr>
    </w:div>
    <w:div w:id="2103257139">
      <w:bodyDiv w:val="1"/>
      <w:marLeft w:val="0"/>
      <w:marRight w:val="0"/>
      <w:marTop w:val="0"/>
      <w:marBottom w:val="0"/>
      <w:divBdr>
        <w:top w:val="none" w:sz="0" w:space="0" w:color="auto"/>
        <w:left w:val="none" w:sz="0" w:space="0" w:color="auto"/>
        <w:bottom w:val="none" w:sz="0" w:space="0" w:color="auto"/>
        <w:right w:val="none" w:sz="0" w:space="0" w:color="auto"/>
      </w:divBdr>
    </w:div>
    <w:div w:id="212580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8488/journal.1.2019.91.74.85" TargetMode="External"/><Relationship Id="rId21" Type="http://schemas.openxmlformats.org/officeDocument/2006/relationships/hyperlink" Target="https://doi.org/10.1080/01621459.1994.10476452" TargetMode="External"/><Relationship Id="rId34" Type="http://schemas.openxmlformats.org/officeDocument/2006/relationships/hyperlink" Target="https://doi.org/10.1108/15982688200700005" TargetMode="External"/><Relationship Id="rId42" Type="http://schemas.openxmlformats.org/officeDocument/2006/relationships/hyperlink" Target="https://doi.org/10.1509/jm.15.0138" TargetMode="External"/><Relationship Id="rId47" Type="http://schemas.openxmlformats.org/officeDocument/2006/relationships/hyperlink" Target="https://doi:10.1002/dir.20019" TargetMode="External"/><Relationship Id="rId50" Type="http://schemas.openxmlformats.org/officeDocument/2006/relationships/hyperlink" Target="https://doi.org/10.1016/j.clsr.2019.105371" TargetMode="External"/><Relationship Id="rId55" Type="http://schemas.openxmlformats.org/officeDocument/2006/relationships/hyperlink" Target="https://doi.org/10.1002/mar.10087" TargetMode="External"/><Relationship Id="rId63" Type="http://schemas.openxmlformats.org/officeDocument/2006/relationships/hyperlink" Target="https://doi.org/10.1016/j.im.2018.04.00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7/s10551-021-04884-3" TargetMode="External"/><Relationship Id="rId29" Type="http://schemas.openxmlformats.org/officeDocument/2006/relationships/hyperlink" Target="https://doi.org/10.1109/WCMEB.2007.60" TargetMode="External"/><Relationship Id="rId11" Type="http://schemas.openxmlformats.org/officeDocument/2006/relationships/hyperlink" Target="https://doi.org/10.1287/isre.1110.0353" TargetMode="External"/><Relationship Id="rId24" Type="http://schemas.openxmlformats.org/officeDocument/2006/relationships/hyperlink" Target="https://doi.org/10.1080/09593969.2020.1852096" TargetMode="External"/><Relationship Id="rId32" Type="http://schemas.openxmlformats.org/officeDocument/2006/relationships/hyperlink" Target="https://doi.org/10.1080/13600860220136093" TargetMode="External"/><Relationship Id="rId37" Type="http://schemas.openxmlformats.org/officeDocument/2006/relationships/hyperlink" Target="https://doi.org/10.1016/j.socec.2003.12.011" TargetMode="External"/><Relationship Id="rId40" Type="http://schemas.openxmlformats.org/officeDocument/2006/relationships/hyperlink" Target="https://doi.org/10.1016/j.cities.2018.11.020" TargetMode="External"/><Relationship Id="rId45" Type="http://schemas.openxmlformats.org/officeDocument/2006/relationships/hyperlink" Target="https://doi/10.1108/JEFAS-07-2018-0066" TargetMode="External"/><Relationship Id="rId53" Type="http://schemas.openxmlformats.org/officeDocument/2006/relationships/hyperlink" Target="https://doi.org/10.1111/poms.13146" TargetMode="External"/><Relationship Id="rId58" Type="http://schemas.openxmlformats.org/officeDocument/2006/relationships/hyperlink" Target="https://doi.org/10.1016/j.elerap.2020.100968"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i.org/10.2753/MTP1069-6679150106" TargetMode="External"/><Relationship Id="rId19" Type="http://schemas.openxmlformats.org/officeDocument/2006/relationships/hyperlink" Target="https://doi:10.1016/j.im.2003.08.013" TargetMode="External"/><Relationship Id="rId14" Type="http://schemas.openxmlformats.org/officeDocument/2006/relationships/hyperlink" Target="https://doi.org/10.1002/dir.20016" TargetMode="External"/><Relationship Id="rId22" Type="http://schemas.openxmlformats.org/officeDocument/2006/relationships/hyperlink" Target="https://doi.org/10.17705/1CAIS.00407" TargetMode="External"/><Relationship Id="rId27" Type="http://schemas.openxmlformats.org/officeDocument/2006/relationships/hyperlink" Target="https://doi.org/10.1016/j.ijinfomgt.2011.02.001" TargetMode="External"/><Relationship Id="rId30" Type="http://schemas.openxmlformats.org/officeDocument/2006/relationships/hyperlink" Target="https://doi.org/10.1017/aae.2021.15" TargetMode="External"/><Relationship Id="rId35" Type="http://schemas.openxmlformats.org/officeDocument/2006/relationships/hyperlink" Target="https://doi.org/10.1109/EMR.2020.2990115" TargetMode="External"/><Relationship Id="rId43" Type="http://schemas.openxmlformats.org/officeDocument/2006/relationships/hyperlink" Target="https://doi.org/10.1108/IJRDM-09-2016-0164" TargetMode="External"/><Relationship Id="rId48" Type="http://schemas.openxmlformats.org/officeDocument/2006/relationships/hyperlink" Target="https://doi/10.1016/j.jretconser.2014.06" TargetMode="External"/><Relationship Id="rId56" Type="http://schemas.openxmlformats.org/officeDocument/2006/relationships/hyperlink" Target="https://doi.org/10.1016/j.tele.2018.04.009" TargetMode="External"/><Relationship Id="rId64" Type="http://schemas.openxmlformats.org/officeDocument/2006/relationships/hyperlink" Target="https://doi.org/10.1016/j.jretai.2018.01.003" TargetMode="External"/><Relationship Id="rId8" Type="http://schemas.openxmlformats.org/officeDocument/2006/relationships/hyperlink" Target="mailto:fachrudinpakaja@unigamalang.ac.id" TargetMode="External"/><Relationship Id="rId51" Type="http://schemas.openxmlformats.org/officeDocument/2006/relationships/hyperlink" Target="https://doi.org/10.1007/s10901-020-09732-w" TargetMode="External"/><Relationship Id="rId3" Type="http://schemas.openxmlformats.org/officeDocument/2006/relationships/styles" Target="styles.xml"/><Relationship Id="rId12" Type="http://schemas.openxmlformats.org/officeDocument/2006/relationships/hyperlink" Target="https://doi.org/10.1257/mac.20190026" TargetMode="External"/><Relationship Id="rId17" Type="http://schemas.openxmlformats.org/officeDocument/2006/relationships/hyperlink" Target="https://doi.org/10.1108/IMDS-11-2019-0628" TargetMode="External"/><Relationship Id="rId25" Type="http://schemas.openxmlformats.org/officeDocument/2006/relationships/hyperlink" Target="https://doi.org/10.1108/EBR-11-2018-0203" TargetMode="External"/><Relationship Id="rId33" Type="http://schemas.openxmlformats.org/officeDocument/2006/relationships/hyperlink" Target="https://doi.org/10.1016/S2095-3119(20)63451-7" TargetMode="External"/><Relationship Id="rId38" Type="http://schemas.openxmlformats.org/officeDocument/2006/relationships/hyperlink" Target="https://doi.org/10.1016/j.jretconser.2019.02.003" TargetMode="External"/><Relationship Id="rId46" Type="http://schemas.openxmlformats.org/officeDocument/2006/relationships/hyperlink" Target="https://doi.org/10.2307/25148748" TargetMode="External"/><Relationship Id="rId59" Type="http://schemas.openxmlformats.org/officeDocument/2006/relationships/hyperlink" Target="https://doi.org/10.3390/su13020831" TargetMode="External"/><Relationship Id="rId20" Type="http://schemas.openxmlformats.org/officeDocument/2006/relationships/hyperlink" Target="https://doi.org/10.1108/02635570610666403" TargetMode="External"/><Relationship Id="rId41" Type="http://schemas.openxmlformats.org/officeDocument/2006/relationships/hyperlink" Target="https://doi.org/10.1080/10864415.2004.11044321" TargetMode="External"/><Relationship Id="rId54" Type="http://schemas.openxmlformats.org/officeDocument/2006/relationships/hyperlink" Target="https://doi.org/10.1080/17543266.2021.1958926" TargetMode="External"/><Relationship Id="rId62" Type="http://schemas.openxmlformats.org/officeDocument/2006/relationships/hyperlink" Target="https://doi.org/10.1109/ICIII.2012.634000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80/10454446.2020.1754313" TargetMode="External"/><Relationship Id="rId23" Type="http://schemas.openxmlformats.org/officeDocument/2006/relationships/hyperlink" Target="https://doi.org/10.1016/j.jbusres.2020.10.002" TargetMode="External"/><Relationship Id="rId28" Type="http://schemas.openxmlformats.org/officeDocument/2006/relationships/hyperlink" Target="https://doi.org/10.1177/2158244019854639" TargetMode="External"/><Relationship Id="rId36" Type="http://schemas.openxmlformats.org/officeDocument/2006/relationships/hyperlink" Target="https://doi.org/10.1186/s40691-018-0164-y" TargetMode="External"/><Relationship Id="rId49" Type="http://schemas.openxmlformats.org/officeDocument/2006/relationships/hyperlink" Target="https://doi/10.15826/jtr.2020.6.2.077" TargetMode="External"/><Relationship Id="rId57" Type="http://schemas.openxmlformats.org/officeDocument/2006/relationships/hyperlink" Target="https://doi.org/10.1177/2278533715578556" TargetMode="External"/><Relationship Id="rId10" Type="http://schemas.openxmlformats.org/officeDocument/2006/relationships/hyperlink" Target="https://doi.org/10.1108/17515631011063767" TargetMode="External"/><Relationship Id="rId31" Type="http://schemas.openxmlformats.org/officeDocument/2006/relationships/hyperlink" Target="https://doi.org/10.1080/08874417.2004.11647568" TargetMode="External"/><Relationship Id="rId44" Type="http://schemas.openxmlformats.org/officeDocument/2006/relationships/hyperlink" Target="https://doi.org/10.1023/A:1026394207651" TargetMode="External"/><Relationship Id="rId52" Type="http://schemas.openxmlformats.org/officeDocument/2006/relationships/hyperlink" Target="https://doi.org/10.1080/1097198X.2004.10856371" TargetMode="External"/><Relationship Id="rId60" Type="http://schemas.openxmlformats.org/officeDocument/2006/relationships/hyperlink" Target="https://doi.org/10.1002/nav.21935"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07/s10797-016-9422-3" TargetMode="External"/><Relationship Id="rId13" Type="http://schemas.openxmlformats.org/officeDocument/2006/relationships/hyperlink" Target="https://doi.org/10.1111/j.1745-6916.2007.00051.x" TargetMode="External"/><Relationship Id="rId18" Type="http://schemas.openxmlformats.org/officeDocument/2006/relationships/hyperlink" Target="https://doi.org/10.1108/02635570710719034" TargetMode="External"/><Relationship Id="rId39" Type="http://schemas.openxmlformats.org/officeDocument/2006/relationships/hyperlink" Target="https://doi.org/10.1016/j.eap.2019.08.00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akermckenzie.com/en/insight/publications/2020/04/use-of-electronic-signatures-during-covid19" TargetMode="External"/><Relationship Id="rId1" Type="http://schemas.openxmlformats.org/officeDocument/2006/relationships/hyperlink" Target="https://www.cips-indonesia.org/post/policy-brief-digital-taxation-in-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6CB45-9CE6-4223-A57C-18BD29AA2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14848</TotalTime>
  <Pages>19</Pages>
  <Words>7163</Words>
  <Characters>40833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kenkhikay</dc:creator>
  <cp:keywords/>
  <dc:description/>
  <cp:lastModifiedBy>fachrudin</cp:lastModifiedBy>
  <cp:revision>754</cp:revision>
  <dcterms:created xsi:type="dcterms:W3CDTF">2021-09-07T07:01:00Z</dcterms:created>
  <dcterms:modified xsi:type="dcterms:W3CDTF">2023-03-01T01:24:00Z</dcterms:modified>
</cp:coreProperties>
</file>